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6B" w:rsidRPr="00426C35" w:rsidRDefault="009F3C6B" w:rsidP="009F3C6B">
      <w:pPr>
        <w:spacing w:after="160" w:line="259" w:lineRule="auto"/>
        <w:jc w:val="both"/>
        <w:rPr>
          <w:rFonts w:ascii="Times New Roman" w:eastAsia="Times New Roman" w:hAnsi="Times New Roman" w:cs="Times New Roman"/>
          <w:sz w:val="24"/>
          <w:szCs w:val="24"/>
          <w:lang w:val="sq-AL"/>
        </w:rPr>
      </w:pPr>
      <w:bookmarkStart w:id="0" w:name="_GoBack"/>
      <w:bookmarkEnd w:id="0"/>
    </w:p>
    <w:p w:rsidR="009F3C6B" w:rsidRPr="00426C35" w:rsidRDefault="009F3C6B" w:rsidP="009F3C6B">
      <w:pPr>
        <w:spacing w:after="0" w:line="259" w:lineRule="auto"/>
        <w:jc w:val="center"/>
        <w:rPr>
          <w:rFonts w:ascii="Times New Roman" w:eastAsia="Times New Roman" w:hAnsi="Times New Roman" w:cs="Times New Roman"/>
          <w:b/>
          <w:sz w:val="24"/>
          <w:szCs w:val="24"/>
          <w:lang w:val="sq-AL"/>
        </w:rPr>
      </w:pPr>
    </w:p>
    <w:p w:rsidR="009F3C6B" w:rsidRPr="00426C35" w:rsidRDefault="009F3C6B" w:rsidP="009F3C6B">
      <w:pPr>
        <w:spacing w:after="0" w:line="259" w:lineRule="auto"/>
        <w:jc w:val="center"/>
        <w:rPr>
          <w:rFonts w:ascii="Times New Roman" w:eastAsia="Times New Roman" w:hAnsi="Times New Roman" w:cs="Times New Roman"/>
          <w:b/>
          <w:bCs/>
          <w:sz w:val="24"/>
          <w:szCs w:val="24"/>
          <w:lang w:val="sq-AL"/>
        </w:rPr>
      </w:pPr>
      <w:r w:rsidRPr="00426C35">
        <w:rPr>
          <w:rFonts w:ascii="Times New Roman" w:eastAsia="Times New Roman" w:hAnsi="Times New Roman" w:cs="Times New Roman"/>
          <w:b/>
          <w:bCs/>
          <w:sz w:val="24"/>
          <w:szCs w:val="24"/>
          <w:lang w:val="sq-AL"/>
        </w:rPr>
        <w:t>R E L A C I O N</w:t>
      </w:r>
    </w:p>
    <w:p w:rsidR="009F3C6B" w:rsidRPr="00426C35" w:rsidRDefault="009F3C6B" w:rsidP="009F3C6B">
      <w:pPr>
        <w:spacing w:after="0" w:line="259" w:lineRule="auto"/>
        <w:jc w:val="center"/>
        <w:rPr>
          <w:rFonts w:ascii="Times New Roman" w:eastAsia="Times New Roman" w:hAnsi="Times New Roman" w:cs="Times New Roman"/>
          <w:b/>
          <w:bCs/>
          <w:sz w:val="24"/>
          <w:szCs w:val="24"/>
          <w:lang w:val="sq-AL"/>
        </w:rPr>
      </w:pPr>
    </w:p>
    <w:p w:rsidR="00037928" w:rsidRDefault="009F3C6B" w:rsidP="009F3C6B">
      <w:pPr>
        <w:spacing w:after="0" w:line="259" w:lineRule="auto"/>
        <w:jc w:val="center"/>
        <w:rPr>
          <w:rFonts w:ascii="Times New Roman" w:eastAsia="Times New Roman" w:hAnsi="Times New Roman" w:cs="Times New Roman"/>
          <w:b/>
          <w:bCs/>
          <w:sz w:val="24"/>
          <w:szCs w:val="24"/>
          <w:lang w:val="sq-AL"/>
        </w:rPr>
      </w:pPr>
      <w:r w:rsidRPr="00426C35">
        <w:rPr>
          <w:rFonts w:ascii="Times New Roman" w:eastAsia="Times New Roman" w:hAnsi="Times New Roman" w:cs="Times New Roman"/>
          <w:b/>
          <w:bCs/>
          <w:sz w:val="24"/>
          <w:szCs w:val="24"/>
          <w:lang w:val="sq-AL"/>
        </w:rPr>
        <w:t xml:space="preserve">PËR </w:t>
      </w:r>
    </w:p>
    <w:p w:rsidR="00037928" w:rsidRDefault="00037928" w:rsidP="00037928">
      <w:pPr>
        <w:spacing w:after="0" w:line="259" w:lineRule="auto"/>
        <w:jc w:val="center"/>
        <w:rPr>
          <w:rFonts w:ascii="Times New Roman" w:eastAsia="Times New Roman" w:hAnsi="Times New Roman" w:cs="Times New Roman"/>
          <w:b/>
          <w:bCs/>
          <w:sz w:val="24"/>
          <w:szCs w:val="24"/>
          <w:lang w:val="sq-AL"/>
        </w:rPr>
      </w:pPr>
    </w:p>
    <w:p w:rsidR="009F3C6B" w:rsidRPr="00426C35" w:rsidRDefault="009F3C6B" w:rsidP="00037928">
      <w:pPr>
        <w:spacing w:after="0" w:line="259" w:lineRule="auto"/>
        <w:jc w:val="center"/>
        <w:rPr>
          <w:rFonts w:ascii="Times New Roman" w:eastAsia="Times New Roman" w:hAnsi="Times New Roman" w:cs="Times New Roman"/>
          <w:b/>
          <w:bCs/>
          <w:sz w:val="24"/>
          <w:szCs w:val="24"/>
          <w:lang w:val="sq-AL"/>
        </w:rPr>
      </w:pPr>
      <w:r w:rsidRPr="00426C35">
        <w:rPr>
          <w:rFonts w:ascii="Times New Roman" w:eastAsia="Times New Roman" w:hAnsi="Times New Roman" w:cs="Times New Roman"/>
          <w:b/>
          <w:bCs/>
          <w:sz w:val="24"/>
          <w:szCs w:val="24"/>
          <w:lang w:val="sq-AL"/>
        </w:rPr>
        <w:t>PROJEKTLIGJIN</w:t>
      </w:r>
      <w:r w:rsidR="00037928">
        <w:rPr>
          <w:rFonts w:ascii="Times New Roman" w:eastAsia="Times New Roman" w:hAnsi="Times New Roman" w:cs="Times New Roman"/>
          <w:b/>
          <w:bCs/>
          <w:sz w:val="24"/>
          <w:szCs w:val="24"/>
          <w:lang w:val="sq-AL"/>
        </w:rPr>
        <w:t xml:space="preserve"> </w:t>
      </w:r>
      <w:r w:rsidR="00415B69">
        <w:rPr>
          <w:rFonts w:ascii="Times New Roman" w:eastAsia="Times New Roman" w:hAnsi="Times New Roman" w:cs="Times New Roman"/>
          <w:b/>
          <w:bCs/>
          <w:sz w:val="24"/>
          <w:szCs w:val="24"/>
          <w:lang w:val="sq-AL"/>
        </w:rPr>
        <w:t>“PËR SHKËMBIMIN AUTOMATIK TË INFORMACIONIT</w:t>
      </w:r>
      <w:r w:rsidR="003A0414">
        <w:rPr>
          <w:rFonts w:ascii="Times New Roman" w:eastAsia="Times New Roman" w:hAnsi="Times New Roman" w:cs="Times New Roman"/>
          <w:b/>
          <w:bCs/>
          <w:sz w:val="24"/>
          <w:szCs w:val="24"/>
          <w:lang w:val="sq-AL"/>
        </w:rPr>
        <w:t xml:space="preserve"> T</w:t>
      </w:r>
      <w:r w:rsidR="00643B33">
        <w:rPr>
          <w:rFonts w:ascii="Times New Roman" w:eastAsia="Times New Roman" w:hAnsi="Times New Roman" w:cs="Times New Roman"/>
          <w:b/>
          <w:bCs/>
          <w:sz w:val="24"/>
          <w:szCs w:val="24"/>
          <w:lang w:val="sq-AL"/>
        </w:rPr>
        <w:t>Ë</w:t>
      </w:r>
      <w:r w:rsidR="003A0414">
        <w:rPr>
          <w:rFonts w:ascii="Times New Roman" w:eastAsia="Times New Roman" w:hAnsi="Times New Roman" w:cs="Times New Roman"/>
          <w:b/>
          <w:bCs/>
          <w:sz w:val="24"/>
          <w:szCs w:val="24"/>
          <w:lang w:val="sq-AL"/>
        </w:rPr>
        <w:t xml:space="preserve"> LLOGARIVE FINANCIARE</w:t>
      </w:r>
      <w:r w:rsidR="00415B69">
        <w:rPr>
          <w:rFonts w:ascii="Times New Roman" w:eastAsia="Times New Roman" w:hAnsi="Times New Roman" w:cs="Times New Roman"/>
          <w:b/>
          <w:bCs/>
          <w:sz w:val="24"/>
          <w:szCs w:val="24"/>
          <w:lang w:val="sq-AL"/>
        </w:rPr>
        <w:t>”</w:t>
      </w:r>
    </w:p>
    <w:p w:rsidR="009F3C6B" w:rsidRPr="00426C35" w:rsidRDefault="009F3C6B" w:rsidP="009F3C6B">
      <w:pPr>
        <w:tabs>
          <w:tab w:val="left" w:pos="284"/>
        </w:tabs>
        <w:spacing w:after="0" w:line="259" w:lineRule="auto"/>
        <w:rPr>
          <w:rFonts w:ascii="Times New Roman" w:eastAsia="Times New Roman" w:hAnsi="Times New Roman" w:cs="Times New Roman"/>
          <w:sz w:val="24"/>
          <w:szCs w:val="24"/>
          <w:lang w:val="sq-AL"/>
        </w:rPr>
      </w:pPr>
    </w:p>
    <w:p w:rsidR="009F3C6B" w:rsidRPr="00037928" w:rsidRDefault="00037928" w:rsidP="00037928">
      <w:pPr>
        <w:pStyle w:val="ListParagraph"/>
        <w:numPr>
          <w:ilvl w:val="0"/>
          <w:numId w:val="18"/>
        </w:numPr>
        <w:tabs>
          <w:tab w:val="left" w:pos="284"/>
        </w:tabs>
        <w:spacing w:after="0"/>
        <w:jc w:val="both"/>
        <w:rPr>
          <w:rFonts w:ascii="Times New Roman" w:hAnsi="Times New Roman"/>
          <w:b/>
          <w:sz w:val="24"/>
          <w:szCs w:val="24"/>
          <w:lang w:val="sq-AL"/>
        </w:rPr>
      </w:pPr>
      <w:r w:rsidRPr="00037928">
        <w:rPr>
          <w:rFonts w:ascii="Times New Roman" w:hAnsi="Times New Roman"/>
          <w:b/>
          <w:sz w:val="24"/>
          <w:szCs w:val="24"/>
          <w:lang w:val="sq-AL"/>
        </w:rPr>
        <w:t>QËLLIMI I PROJEKTLIGJIT</w:t>
      </w:r>
      <w:r w:rsidR="009F3C6B" w:rsidRPr="00037928">
        <w:rPr>
          <w:rFonts w:ascii="Times New Roman" w:hAnsi="Times New Roman"/>
          <w:b/>
          <w:sz w:val="24"/>
          <w:szCs w:val="24"/>
          <w:lang w:val="sq-AL"/>
        </w:rPr>
        <w:t xml:space="preserve"> DHE OBJEKTIVAT QË SYNOHEN TË ARRIHEN</w:t>
      </w:r>
    </w:p>
    <w:p w:rsidR="009F3C6B" w:rsidRPr="00426C35" w:rsidRDefault="009F3C6B" w:rsidP="00763C5D">
      <w:pPr>
        <w:autoSpaceDE w:val="0"/>
        <w:autoSpaceDN w:val="0"/>
        <w:adjustRightInd w:val="0"/>
        <w:spacing w:after="0" w:line="240" w:lineRule="auto"/>
        <w:jc w:val="both"/>
        <w:rPr>
          <w:rFonts w:ascii="Times New Roman" w:eastAsia="Calibri" w:hAnsi="Times New Roman" w:cs="Times New Roman"/>
          <w:color w:val="000000"/>
          <w:sz w:val="24"/>
          <w:szCs w:val="24"/>
          <w:lang w:val="sq-AL"/>
        </w:rPr>
      </w:pPr>
    </w:p>
    <w:p w:rsidR="00037928" w:rsidRPr="00037928" w:rsidRDefault="00037928" w:rsidP="00037928">
      <w:pPr>
        <w:jc w:val="both"/>
        <w:rPr>
          <w:rFonts w:ascii="Times New Roman" w:hAnsi="Times New Roman" w:cs="Times New Roman"/>
          <w:color w:val="000000" w:themeColor="text1"/>
          <w:sz w:val="24"/>
          <w:szCs w:val="24"/>
          <w:lang w:val="sq-AL"/>
        </w:rPr>
      </w:pPr>
      <w:r w:rsidRPr="00037928">
        <w:rPr>
          <w:rFonts w:ascii="Times New Roman" w:hAnsi="Times New Roman" w:cs="Times New Roman"/>
          <w:sz w:val="24"/>
          <w:szCs w:val="24"/>
          <w:lang w:val="sq-AL"/>
        </w:rPr>
        <w:t xml:space="preserve">Propozimi i projektligjit “Për </w:t>
      </w:r>
      <w:r>
        <w:rPr>
          <w:rFonts w:ascii="Times New Roman" w:hAnsi="Times New Roman" w:cs="Times New Roman"/>
          <w:sz w:val="24"/>
          <w:szCs w:val="24"/>
          <w:lang w:val="sq-AL"/>
        </w:rPr>
        <w:t>shk</w:t>
      </w:r>
      <w:r w:rsidR="00245577">
        <w:rPr>
          <w:rFonts w:ascii="Times New Roman" w:hAnsi="Times New Roman" w:cs="Times New Roman"/>
          <w:sz w:val="24"/>
          <w:szCs w:val="24"/>
          <w:lang w:val="sq-AL"/>
        </w:rPr>
        <w:t>ë</w:t>
      </w:r>
      <w:r>
        <w:rPr>
          <w:rFonts w:ascii="Times New Roman" w:hAnsi="Times New Roman" w:cs="Times New Roman"/>
          <w:sz w:val="24"/>
          <w:szCs w:val="24"/>
          <w:lang w:val="sq-AL"/>
        </w:rPr>
        <w:t>mbimin automatik t</w:t>
      </w:r>
      <w:r w:rsidR="00245577">
        <w:rPr>
          <w:rFonts w:ascii="Times New Roman" w:hAnsi="Times New Roman" w:cs="Times New Roman"/>
          <w:sz w:val="24"/>
          <w:szCs w:val="24"/>
          <w:lang w:val="sq-AL"/>
        </w:rPr>
        <w:t>ë</w:t>
      </w:r>
      <w:r>
        <w:rPr>
          <w:rFonts w:ascii="Times New Roman" w:hAnsi="Times New Roman" w:cs="Times New Roman"/>
          <w:sz w:val="24"/>
          <w:szCs w:val="24"/>
          <w:lang w:val="sq-AL"/>
        </w:rPr>
        <w:t xml:space="preserve"> informacionit</w:t>
      </w:r>
      <w:r w:rsidR="003A0414">
        <w:rPr>
          <w:rFonts w:ascii="Times New Roman" w:hAnsi="Times New Roman" w:cs="Times New Roman"/>
          <w:sz w:val="24"/>
          <w:szCs w:val="24"/>
          <w:lang w:val="sq-AL"/>
        </w:rPr>
        <w:t xml:space="preserve"> t</w:t>
      </w:r>
      <w:r w:rsidR="00643B33">
        <w:rPr>
          <w:rFonts w:ascii="Times New Roman" w:hAnsi="Times New Roman" w:cs="Times New Roman"/>
          <w:sz w:val="24"/>
          <w:szCs w:val="24"/>
          <w:lang w:val="sq-AL"/>
        </w:rPr>
        <w:t>ë</w:t>
      </w:r>
      <w:r w:rsidR="003A0414">
        <w:rPr>
          <w:rFonts w:ascii="Times New Roman" w:hAnsi="Times New Roman" w:cs="Times New Roman"/>
          <w:sz w:val="24"/>
          <w:szCs w:val="24"/>
          <w:lang w:val="sq-AL"/>
        </w:rPr>
        <w:t xml:space="preserve"> llogarive financiare</w:t>
      </w:r>
      <w:r>
        <w:rPr>
          <w:rFonts w:ascii="Times New Roman" w:hAnsi="Times New Roman" w:cs="Times New Roman"/>
          <w:sz w:val="24"/>
          <w:szCs w:val="24"/>
          <w:lang w:val="sq-AL"/>
        </w:rPr>
        <w:t>”,</w:t>
      </w:r>
      <w:r w:rsidRPr="00037928">
        <w:rPr>
          <w:rFonts w:ascii="Times New Roman" w:hAnsi="Times New Roman" w:cs="Times New Roman"/>
          <w:sz w:val="24"/>
          <w:szCs w:val="24"/>
          <w:lang w:val="sq-AL"/>
        </w:rPr>
        <w:t xml:space="preserve"> është mbështetur në</w:t>
      </w:r>
      <w:r>
        <w:rPr>
          <w:rFonts w:ascii="Times New Roman" w:hAnsi="Times New Roman" w:cs="Times New Roman"/>
          <w:sz w:val="24"/>
          <w:szCs w:val="24"/>
          <w:lang w:val="sq-AL"/>
        </w:rPr>
        <w:t xml:space="preserve"> nenet 78 dhe 83 pika 1</w:t>
      </w:r>
      <w:r w:rsidRPr="00037928">
        <w:rPr>
          <w:rFonts w:ascii="Times New Roman" w:hAnsi="Times New Roman" w:cs="Times New Roman"/>
          <w:sz w:val="24"/>
          <w:szCs w:val="24"/>
          <w:lang w:val="sq-AL"/>
        </w:rPr>
        <w:t xml:space="preserve"> të Kushtetutës së Republikës së Shqipërisë</w:t>
      </w:r>
      <w:r>
        <w:rPr>
          <w:rFonts w:ascii="Times New Roman" w:hAnsi="Times New Roman" w:cs="Times New Roman"/>
          <w:sz w:val="24"/>
          <w:szCs w:val="24"/>
          <w:lang w:val="sq-AL"/>
        </w:rPr>
        <w:t>.</w:t>
      </w:r>
    </w:p>
    <w:p w:rsidR="00672284" w:rsidRPr="00037928" w:rsidRDefault="00037928" w:rsidP="00037928">
      <w:pPr>
        <w:spacing w:after="120"/>
        <w:jc w:val="both"/>
        <w:rPr>
          <w:rFonts w:ascii="Times New Roman" w:hAnsi="Times New Roman" w:cs="Times New Roman"/>
          <w:color w:val="000000" w:themeColor="text1"/>
          <w:sz w:val="24"/>
          <w:szCs w:val="24"/>
          <w:lang w:val="sq-AL"/>
        </w:rPr>
      </w:pPr>
      <w:r w:rsidRPr="00037928">
        <w:rPr>
          <w:rFonts w:ascii="Times New Roman" w:hAnsi="Times New Roman" w:cs="Times New Roman"/>
          <w:color w:val="000000" w:themeColor="text1"/>
          <w:sz w:val="24"/>
          <w:szCs w:val="24"/>
          <w:lang w:val="sq-AL"/>
        </w:rPr>
        <w:t>Ky projektligj synon:</w:t>
      </w:r>
    </w:p>
    <w:p w:rsidR="003B474A" w:rsidRPr="00E12781" w:rsidRDefault="003B474A" w:rsidP="003B474A">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a) </w:t>
      </w:r>
      <w:r>
        <w:rPr>
          <w:rFonts w:ascii="Times New Roman" w:hAnsi="Times New Roman" w:cs="Times New Roman"/>
          <w:sz w:val="24"/>
          <w:szCs w:val="24"/>
          <w:lang w:val="sq-AL"/>
        </w:rPr>
        <w:t>krijimin e një mjeti efikas për realizimin e shkëmbimit automatik të informacionit, në zbatim të</w:t>
      </w:r>
      <w:r w:rsidRPr="00E12781">
        <w:rPr>
          <w:rFonts w:ascii="Times New Roman" w:hAnsi="Times New Roman" w:cs="Times New Roman"/>
          <w:sz w:val="24"/>
          <w:szCs w:val="24"/>
          <w:lang w:val="sq-AL"/>
        </w:rPr>
        <w:t xml:space="preserve"> Standardit të Përbashkët të Raportimit</w:t>
      </w:r>
      <w:r>
        <w:rPr>
          <w:rFonts w:ascii="Times New Roman" w:hAnsi="Times New Roman" w:cs="Times New Roman"/>
          <w:sz w:val="24"/>
          <w:szCs w:val="24"/>
          <w:lang w:val="sq-AL"/>
        </w:rPr>
        <w:t xml:space="preserve"> dhe </w:t>
      </w:r>
      <w:r w:rsidRPr="00E12781">
        <w:rPr>
          <w:rFonts w:ascii="Times New Roman" w:hAnsi="Times New Roman" w:cs="Times New Roman"/>
          <w:sz w:val="24"/>
          <w:szCs w:val="24"/>
          <w:lang w:val="sq-AL"/>
        </w:rPr>
        <w:t>Marrëveshjes Shumëpalëshe të Autoritetit Kompetent për Shkëmbimin Automa</w:t>
      </w:r>
      <w:r>
        <w:rPr>
          <w:rFonts w:ascii="Times New Roman" w:hAnsi="Times New Roman" w:cs="Times New Roman"/>
          <w:sz w:val="24"/>
          <w:szCs w:val="24"/>
          <w:lang w:val="sq-AL"/>
        </w:rPr>
        <w:t>tik të Informacionit të Llogarive</w:t>
      </w:r>
      <w:r w:rsidRPr="00E12781">
        <w:rPr>
          <w:rFonts w:ascii="Times New Roman" w:hAnsi="Times New Roman" w:cs="Times New Roman"/>
          <w:sz w:val="24"/>
          <w:szCs w:val="24"/>
          <w:lang w:val="sq-AL"/>
        </w:rPr>
        <w:t xml:space="preserve"> Financiare të miratuar me Vendimin e Këshillit të Ministrave nr. 178, datë 09.03.2016</w:t>
      </w:r>
      <w:r>
        <w:rPr>
          <w:rFonts w:ascii="Times New Roman" w:hAnsi="Times New Roman" w:cs="Times New Roman"/>
          <w:sz w:val="24"/>
          <w:szCs w:val="24"/>
          <w:lang w:val="sq-AL"/>
        </w:rPr>
        <w:t>;</w:t>
      </w:r>
    </w:p>
    <w:p w:rsidR="003B474A" w:rsidRDefault="003B474A" w:rsidP="00747C02">
      <w:pPr>
        <w:pStyle w:val="HTMLPreformatted"/>
        <w:shd w:val="clear" w:color="auto" w:fill="FFFFFF"/>
        <w:jc w:val="both"/>
        <w:rPr>
          <w:rFonts w:ascii="Times New Roman" w:hAnsi="Times New Roman" w:cs="Times New Roman"/>
          <w:sz w:val="24"/>
          <w:szCs w:val="24"/>
          <w:lang w:val="sq-AL"/>
        </w:rPr>
      </w:pPr>
    </w:p>
    <w:p w:rsidR="003B474A" w:rsidRPr="00E12781" w:rsidRDefault="003B474A" w:rsidP="003B474A">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b) </w:t>
      </w:r>
      <w:r>
        <w:rPr>
          <w:rFonts w:ascii="Times New Roman" w:hAnsi="Times New Roman" w:cs="Times New Roman"/>
          <w:sz w:val="24"/>
          <w:szCs w:val="24"/>
          <w:lang w:val="sq-AL"/>
        </w:rPr>
        <w:t>garantimi</w:t>
      </w:r>
      <w:r w:rsidR="00747C02">
        <w:rPr>
          <w:rFonts w:ascii="Times New Roman" w:hAnsi="Times New Roman" w:cs="Times New Roman"/>
          <w:sz w:val="24"/>
          <w:szCs w:val="24"/>
          <w:lang w:val="sq-AL"/>
        </w:rPr>
        <w:t>n e mbledhjes së informacionit</w:t>
      </w:r>
      <w:r>
        <w:rPr>
          <w:rFonts w:ascii="Times New Roman" w:hAnsi="Times New Roman" w:cs="Times New Roman"/>
          <w:sz w:val="24"/>
          <w:szCs w:val="24"/>
          <w:lang w:val="sq-AL"/>
        </w:rPr>
        <w:t xml:space="preserve"> të </w:t>
      </w:r>
      <w:r w:rsidRPr="00E12781">
        <w:rPr>
          <w:rFonts w:ascii="Times New Roman" w:hAnsi="Times New Roman" w:cs="Times New Roman"/>
          <w:sz w:val="24"/>
          <w:szCs w:val="24"/>
          <w:lang w:val="sq-AL"/>
        </w:rPr>
        <w:t xml:space="preserve">Institucioneve Financiare Raportuese </w:t>
      </w:r>
      <w:r>
        <w:rPr>
          <w:rFonts w:ascii="Times New Roman" w:hAnsi="Times New Roman" w:cs="Times New Roman"/>
          <w:sz w:val="24"/>
          <w:szCs w:val="24"/>
          <w:lang w:val="sq-AL"/>
        </w:rPr>
        <w:t xml:space="preserve">për </w:t>
      </w:r>
      <w:r w:rsidRPr="00E12781">
        <w:rPr>
          <w:rFonts w:ascii="Times New Roman" w:hAnsi="Times New Roman" w:cs="Times New Roman"/>
          <w:sz w:val="24"/>
          <w:szCs w:val="24"/>
          <w:lang w:val="sq-AL"/>
        </w:rPr>
        <w:t>raportimin e inf</w:t>
      </w:r>
      <w:r w:rsidR="00747C02">
        <w:rPr>
          <w:rFonts w:ascii="Times New Roman" w:hAnsi="Times New Roman" w:cs="Times New Roman"/>
          <w:sz w:val="24"/>
          <w:szCs w:val="24"/>
          <w:lang w:val="sq-AL"/>
        </w:rPr>
        <w:t>ormacionit të caktuar financiar</w:t>
      </w:r>
      <w:r w:rsidRPr="00E12781">
        <w:rPr>
          <w:rFonts w:ascii="Times New Roman" w:hAnsi="Times New Roman" w:cs="Times New Roman"/>
          <w:sz w:val="24"/>
          <w:szCs w:val="24"/>
          <w:lang w:val="sq-AL"/>
        </w:rPr>
        <w:t xml:space="preserve"> pranë Autoritetit Kompetent</w:t>
      </w:r>
      <w:r>
        <w:rPr>
          <w:rFonts w:ascii="Times New Roman" w:hAnsi="Times New Roman" w:cs="Times New Roman"/>
          <w:sz w:val="24"/>
          <w:szCs w:val="24"/>
          <w:lang w:val="sq-AL"/>
        </w:rPr>
        <w:t>,</w:t>
      </w:r>
      <w:r w:rsidRPr="00E12781">
        <w:rPr>
          <w:rFonts w:ascii="Times New Roman" w:hAnsi="Times New Roman" w:cs="Times New Roman"/>
          <w:sz w:val="24"/>
          <w:szCs w:val="24"/>
          <w:lang w:val="sq-AL"/>
        </w:rPr>
        <w:t xml:space="preserve"> në përputhje me Standardin e Përbashkët të Raportimit;</w:t>
      </w:r>
    </w:p>
    <w:p w:rsidR="003B474A" w:rsidRDefault="003B474A" w:rsidP="00747C02">
      <w:pPr>
        <w:pStyle w:val="HTMLPreformatted"/>
        <w:shd w:val="clear" w:color="auto" w:fill="FFFFFF"/>
        <w:jc w:val="both"/>
        <w:rPr>
          <w:rFonts w:ascii="Times New Roman" w:hAnsi="Times New Roman" w:cs="Times New Roman"/>
          <w:sz w:val="24"/>
          <w:szCs w:val="24"/>
          <w:lang w:val="sq-AL"/>
        </w:rPr>
      </w:pPr>
    </w:p>
    <w:p w:rsidR="003B474A" w:rsidRPr="00E12781" w:rsidRDefault="003B474A" w:rsidP="003B474A">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c) </w:t>
      </w:r>
      <w:r>
        <w:rPr>
          <w:rFonts w:ascii="Times New Roman" w:hAnsi="Times New Roman" w:cs="Times New Roman"/>
          <w:sz w:val="24"/>
          <w:szCs w:val="24"/>
          <w:lang w:val="sq-AL"/>
        </w:rPr>
        <w:t>p</w:t>
      </w:r>
      <w:r w:rsidRPr="00E12781">
        <w:rPr>
          <w:rFonts w:ascii="Times New Roman" w:hAnsi="Times New Roman" w:cs="Times New Roman"/>
          <w:sz w:val="24"/>
          <w:szCs w:val="24"/>
          <w:lang w:val="sq-AL"/>
        </w:rPr>
        <w:t xml:space="preserve">ërcaktimin e termave dhe kushteve të përgjithshme që lidhen me grumbullimin, përpunimin, përditësimin, bashkëveprimin, </w:t>
      </w:r>
      <w:r>
        <w:rPr>
          <w:rFonts w:ascii="Times New Roman" w:hAnsi="Times New Roman" w:cs="Times New Roman"/>
          <w:sz w:val="24"/>
          <w:szCs w:val="24"/>
          <w:lang w:val="sq-AL"/>
        </w:rPr>
        <w:t>për</w:t>
      </w:r>
      <w:r w:rsidRPr="00E12781">
        <w:rPr>
          <w:rFonts w:ascii="Times New Roman" w:hAnsi="Times New Roman" w:cs="Times New Roman"/>
          <w:sz w:val="24"/>
          <w:szCs w:val="24"/>
          <w:lang w:val="sq-AL"/>
        </w:rPr>
        <w:t>qasjen, ruajtjen, përdorimin dhe arkivimin e informacionit në lidhje me Shkëmbimin Automa</w:t>
      </w:r>
      <w:r>
        <w:rPr>
          <w:rFonts w:ascii="Times New Roman" w:hAnsi="Times New Roman" w:cs="Times New Roman"/>
          <w:sz w:val="24"/>
          <w:szCs w:val="24"/>
          <w:lang w:val="sq-AL"/>
        </w:rPr>
        <w:t>tik të Informacionit të Llogarive</w:t>
      </w:r>
      <w:r w:rsidRPr="00E12781">
        <w:rPr>
          <w:rFonts w:ascii="Times New Roman" w:hAnsi="Times New Roman" w:cs="Times New Roman"/>
          <w:sz w:val="24"/>
          <w:szCs w:val="24"/>
          <w:lang w:val="sq-AL"/>
        </w:rPr>
        <w:t xml:space="preserve"> Financiare në çështjet tatimore;</w:t>
      </w:r>
    </w:p>
    <w:p w:rsidR="003B474A" w:rsidRDefault="003B474A" w:rsidP="00747C02">
      <w:pPr>
        <w:pStyle w:val="HTMLPreformatted"/>
        <w:shd w:val="clear" w:color="auto" w:fill="FFFFFF"/>
        <w:jc w:val="both"/>
        <w:rPr>
          <w:rFonts w:ascii="Times New Roman" w:hAnsi="Times New Roman" w:cs="Times New Roman"/>
          <w:sz w:val="24"/>
          <w:szCs w:val="24"/>
          <w:lang w:val="sq-AL"/>
        </w:rPr>
      </w:pPr>
    </w:p>
    <w:p w:rsidR="003B474A" w:rsidRDefault="003B474A" w:rsidP="003B474A">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d) </w:t>
      </w:r>
      <w:r>
        <w:rPr>
          <w:rFonts w:ascii="Times New Roman" w:hAnsi="Times New Roman" w:cs="Times New Roman"/>
          <w:sz w:val="24"/>
          <w:szCs w:val="24"/>
          <w:lang w:val="sq-AL"/>
        </w:rPr>
        <w:t>d</w:t>
      </w:r>
      <w:r w:rsidRPr="00E12781">
        <w:rPr>
          <w:rFonts w:ascii="Times New Roman" w:hAnsi="Times New Roman" w:cs="Times New Roman"/>
          <w:sz w:val="24"/>
          <w:szCs w:val="24"/>
          <w:lang w:val="sq-AL"/>
        </w:rPr>
        <w:t xml:space="preserve">etyrat dhe kompetencat e autoritetit kompetent për të siguruar zbatimin efektiv dhe </w:t>
      </w:r>
      <w:r>
        <w:rPr>
          <w:rFonts w:ascii="Times New Roman" w:hAnsi="Times New Roman" w:cs="Times New Roman"/>
          <w:sz w:val="24"/>
          <w:szCs w:val="24"/>
          <w:lang w:val="sq-AL"/>
        </w:rPr>
        <w:t>përputhshmërinë</w:t>
      </w:r>
      <w:r w:rsidRPr="00E12781">
        <w:rPr>
          <w:rFonts w:ascii="Times New Roman" w:hAnsi="Times New Roman" w:cs="Times New Roman"/>
          <w:sz w:val="24"/>
          <w:szCs w:val="24"/>
          <w:lang w:val="sq-AL"/>
        </w:rPr>
        <w:t xml:space="preserve"> me Standardin e Përbashkët të Raportimit, duke përfshirë </w:t>
      </w:r>
      <w:r>
        <w:rPr>
          <w:rFonts w:ascii="Times New Roman" w:hAnsi="Times New Roman" w:cs="Times New Roman"/>
          <w:sz w:val="24"/>
          <w:szCs w:val="24"/>
          <w:lang w:val="sq-AL"/>
        </w:rPr>
        <w:t>marrjen</w:t>
      </w:r>
      <w:r w:rsidRPr="00E12781">
        <w:rPr>
          <w:rFonts w:ascii="Times New Roman" w:hAnsi="Times New Roman" w:cs="Times New Roman"/>
          <w:sz w:val="24"/>
          <w:szCs w:val="24"/>
          <w:lang w:val="sq-AL"/>
        </w:rPr>
        <w:t xml:space="preserve"> dhe përdorimin e informacionit.</w:t>
      </w:r>
    </w:p>
    <w:p w:rsidR="009F3C6B" w:rsidRPr="00E56539" w:rsidRDefault="009F3C6B" w:rsidP="00037928">
      <w:pPr>
        <w:widowControl w:val="0"/>
        <w:tabs>
          <w:tab w:val="left" w:pos="284"/>
        </w:tabs>
        <w:autoSpaceDE w:val="0"/>
        <w:autoSpaceDN w:val="0"/>
        <w:adjustRightInd w:val="0"/>
        <w:spacing w:after="0"/>
        <w:jc w:val="both"/>
        <w:rPr>
          <w:rFonts w:ascii="Times New Roman" w:eastAsia="Times New Roman" w:hAnsi="Times New Roman" w:cs="Times New Roman"/>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t>VLERËSIMI I PROJEKTAKTIT NË RAPORT ME PROGRAMIN POLITIK TË KËSHILLIT TË MINISTRAVE, ME PROGRAMIN ANALITIK TË AKTEVE DHE DOKUMENTE TË TJERA POLITIKE</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r w:rsidRPr="00E56539">
        <w:rPr>
          <w:rFonts w:ascii="Times New Roman" w:eastAsia="Times New Roman" w:hAnsi="Times New Roman" w:cs="Times New Roman"/>
          <w:sz w:val="24"/>
          <w:szCs w:val="24"/>
          <w:lang w:val="sq-AL"/>
        </w:rPr>
        <w:t>Ky projektligj nuk është parashikuar në programin analitik të projektakteve.</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lastRenderedPageBreak/>
        <w:t>ARGUMENTIMI I PROJEKTAKTIT LIDHUR ME PËRPARËSITË, PROBLEMATIKAT, EFEKTET E PRITSHME</w:t>
      </w:r>
    </w:p>
    <w:p w:rsidR="00747C02" w:rsidRDefault="00747C02" w:rsidP="00E27C50">
      <w:pPr>
        <w:pStyle w:val="NormalWeb"/>
        <w:spacing w:before="0" w:beforeAutospacing="0" w:after="0" w:afterAutospacing="0" w:line="276" w:lineRule="auto"/>
        <w:jc w:val="both"/>
        <w:rPr>
          <w:rFonts w:eastAsia="Calibri"/>
          <w:lang w:val="sq-AL"/>
        </w:rPr>
      </w:pPr>
    </w:p>
    <w:p w:rsidR="003B474A" w:rsidRPr="00340007" w:rsidRDefault="003B474A" w:rsidP="00E27C50">
      <w:pPr>
        <w:pStyle w:val="NormalWeb"/>
        <w:spacing w:before="0" w:beforeAutospacing="0" w:after="0" w:afterAutospacing="0" w:line="276" w:lineRule="auto"/>
        <w:jc w:val="both"/>
        <w:rPr>
          <w:rFonts w:eastAsia="Calibri"/>
          <w:lang w:val="sq-AL"/>
        </w:rPr>
      </w:pPr>
      <w:r>
        <w:rPr>
          <w:rFonts w:eastAsia="Calibri"/>
          <w:lang w:val="sq-AL"/>
        </w:rPr>
        <w:t>Që prej Muajit N</w:t>
      </w:r>
      <w:r w:rsidRPr="00340007">
        <w:rPr>
          <w:rFonts w:eastAsia="Calibri"/>
          <w:lang w:val="sq-AL"/>
        </w:rPr>
        <w:t xml:space="preserve">ëntor </w:t>
      </w:r>
      <w:r>
        <w:rPr>
          <w:rFonts w:eastAsia="Calibri"/>
          <w:lang w:val="sq-AL"/>
        </w:rPr>
        <w:t xml:space="preserve">të vitit </w:t>
      </w:r>
      <w:r w:rsidRPr="00340007">
        <w:rPr>
          <w:rFonts w:eastAsia="Calibri"/>
          <w:lang w:val="sq-AL"/>
        </w:rPr>
        <w:t>2012 Shqipëria është pjesë e Forumit Global mbi Transparencën dhe Shkëmbimin e Informacionit</w:t>
      </w:r>
      <w:r>
        <w:rPr>
          <w:rFonts w:eastAsia="Calibri"/>
          <w:lang w:val="sq-AL"/>
        </w:rPr>
        <w:t xml:space="preserve"> për Qëllime Tatimore</w:t>
      </w:r>
      <w:r w:rsidRPr="00340007">
        <w:rPr>
          <w:rFonts w:eastAsia="Calibri"/>
          <w:lang w:val="sq-AL"/>
        </w:rPr>
        <w:t xml:space="preserve"> (“Global Forum on Transparency and Exchange of Information for Tax Purposes”). Forumi Global është organizimi më i gjerë ndërkombëtar në fushën e shkëmbimit të informacionit për qëllime tatimore në luftën kundër evazionit fiskal, i mbështetur nga G20. Produkti më i rëndësishëm i Forumit Global është </w:t>
      </w:r>
      <w:r w:rsidR="00E878D8">
        <w:rPr>
          <w:rFonts w:eastAsia="Calibri"/>
          <w:lang w:val="sq-AL"/>
        </w:rPr>
        <w:t>Raporti i Rishikimit (</w:t>
      </w:r>
      <w:r w:rsidRPr="00340007">
        <w:rPr>
          <w:rFonts w:eastAsia="Calibri"/>
          <w:lang w:val="sq-AL"/>
        </w:rPr>
        <w:t>“Peer Revie</w:t>
      </w:r>
      <w:r w:rsidR="00245577">
        <w:rPr>
          <w:rFonts w:eastAsia="Calibri"/>
          <w:lang w:val="sq-AL"/>
        </w:rPr>
        <w:t>ë</w:t>
      </w:r>
      <w:r w:rsidRPr="00340007">
        <w:rPr>
          <w:rFonts w:eastAsia="Calibri"/>
          <w:lang w:val="sq-AL"/>
        </w:rPr>
        <w:t>”</w:t>
      </w:r>
      <w:r w:rsidR="00E878D8">
        <w:rPr>
          <w:rFonts w:eastAsia="Calibri"/>
          <w:lang w:val="sq-AL"/>
        </w:rPr>
        <w:t>)</w:t>
      </w:r>
      <w:r w:rsidRPr="00340007">
        <w:rPr>
          <w:rFonts w:eastAsia="Calibri"/>
          <w:lang w:val="sq-AL"/>
        </w:rPr>
        <w:t>. Raporti i rishikimit hartohet për çdo vend pjesëmarrës dhe përfshin vlerësimin e kujdesshëm të kuadrit ligjor dhe rregullator, si dhe praktikave të përdorura për shkëmbimin e informacionit tatimor në fushën e tatimeve. Pas vlerësimit të kuadrit ligjor dhe rregullator, Shqipë</w:t>
      </w:r>
      <w:r>
        <w:rPr>
          <w:rFonts w:eastAsia="Calibri"/>
          <w:lang w:val="sq-AL"/>
        </w:rPr>
        <w:t>ria është vlerësuar nga Forumi</w:t>
      </w:r>
      <w:r w:rsidRPr="00340007">
        <w:rPr>
          <w:rFonts w:eastAsia="Calibri"/>
          <w:lang w:val="sq-AL"/>
        </w:rPr>
        <w:t xml:space="preserve"> Global për fazën e dyt</w:t>
      </w:r>
      <w:r>
        <w:rPr>
          <w:rFonts w:eastAsia="Calibri"/>
          <w:lang w:val="sq-AL"/>
        </w:rPr>
        <w:t>ë</w:t>
      </w:r>
      <w:r w:rsidRPr="00340007">
        <w:rPr>
          <w:rFonts w:eastAsia="Calibri"/>
          <w:lang w:val="sq-AL"/>
        </w:rPr>
        <w:t>, e cila lidhet me zbatimin e standarteve në praktikë, ku është sugjeruar hartimi i akteve ligjore primare dhe sekondare për zbatimin e shkëmbimit automatik të informacionit ndërmjet vendeve, të cilat kanë nënshkruar marrëveshjen shumëpalëshe.</w:t>
      </w:r>
    </w:p>
    <w:p w:rsidR="00E27C50" w:rsidRDefault="00E27C50" w:rsidP="00E27C50">
      <w:pPr>
        <w:pStyle w:val="NormalWeb"/>
        <w:spacing w:before="0" w:beforeAutospacing="0" w:after="0" w:afterAutospacing="0" w:line="276" w:lineRule="auto"/>
        <w:jc w:val="both"/>
        <w:rPr>
          <w:rFonts w:eastAsia="Calibri"/>
          <w:lang w:val="sq-AL"/>
        </w:rPr>
      </w:pPr>
    </w:p>
    <w:p w:rsidR="003B474A" w:rsidRPr="00340007" w:rsidRDefault="003B474A" w:rsidP="00E27C50">
      <w:pPr>
        <w:pStyle w:val="NormalWeb"/>
        <w:spacing w:before="0" w:beforeAutospacing="0" w:after="0" w:afterAutospacing="0" w:line="276" w:lineRule="auto"/>
        <w:jc w:val="both"/>
        <w:rPr>
          <w:rFonts w:eastAsia="Calibri"/>
          <w:lang w:val="sq-AL"/>
        </w:rPr>
      </w:pPr>
      <w:r w:rsidRPr="00340007">
        <w:rPr>
          <w:rFonts w:eastAsia="Calibri"/>
          <w:lang w:val="sq-AL"/>
        </w:rPr>
        <w:t>Rezultati kryesor i implementimit të Standardit të Përbashkët të Raportimit është angazhimi i vendeve anëtare në rritjen e transparencës në fushën e taksave, si vijon:</w:t>
      </w:r>
    </w:p>
    <w:p w:rsidR="003B474A" w:rsidRPr="00340007" w:rsidRDefault="003B474A" w:rsidP="00E27C50">
      <w:pPr>
        <w:pStyle w:val="NormalWeb"/>
        <w:spacing w:before="0" w:beforeAutospacing="0" w:after="0" w:afterAutospacing="0" w:line="276" w:lineRule="auto"/>
        <w:jc w:val="both"/>
        <w:rPr>
          <w:rFonts w:eastAsia="Calibri"/>
          <w:lang w:val="sq-AL"/>
        </w:rPr>
      </w:pPr>
      <w:r w:rsidRPr="00340007">
        <w:rPr>
          <w:rFonts w:eastAsia="Calibri"/>
          <w:lang w:val="sq-AL"/>
        </w:rPr>
        <w:t xml:space="preserve"> a) Angazhimi i s</w:t>
      </w:r>
      <w:r w:rsidR="00E27C50">
        <w:rPr>
          <w:rFonts w:eastAsia="Calibri"/>
          <w:lang w:val="sq-AL"/>
        </w:rPr>
        <w:t>humicës së vendeve anëtare të Forumit Global</w:t>
      </w:r>
      <w:r w:rsidRPr="00340007">
        <w:rPr>
          <w:rFonts w:eastAsia="Calibri"/>
          <w:lang w:val="sq-AL"/>
        </w:rPr>
        <w:t xml:space="preserve"> për të zbatuar standardet e reja për Shkëmbimin Automatik të Informacionit deri në fund të vitit 2018, të shoqëruar me një shprehje të fortë mbështetjeje sidomos për vendet në zhvillim për të marrë pjesë në këtë ambient të ri transparence; </w:t>
      </w:r>
    </w:p>
    <w:p w:rsidR="003B474A" w:rsidRPr="00340007" w:rsidRDefault="003B474A" w:rsidP="00E27C50">
      <w:pPr>
        <w:spacing w:after="0"/>
        <w:jc w:val="both"/>
        <w:rPr>
          <w:rFonts w:ascii="Times New Roman" w:eastAsia="Calibri" w:hAnsi="Times New Roman" w:cs="Times New Roman"/>
          <w:sz w:val="24"/>
          <w:szCs w:val="24"/>
          <w:lang w:val="sq-AL"/>
        </w:rPr>
      </w:pPr>
      <w:r w:rsidRPr="00340007">
        <w:rPr>
          <w:rFonts w:ascii="Times New Roman" w:eastAsia="Calibri" w:hAnsi="Times New Roman" w:cs="Times New Roman"/>
          <w:sz w:val="24"/>
          <w:szCs w:val="24"/>
          <w:lang w:val="sq-AL"/>
        </w:rPr>
        <w:t>b) Adaptimi, në parim, i Termave të Referencës mbi mënyrën e shkëmbimit automatik të informacionit;</w:t>
      </w:r>
    </w:p>
    <w:p w:rsidR="00E27C50" w:rsidRDefault="003B474A" w:rsidP="00E27C50">
      <w:pPr>
        <w:spacing w:after="0"/>
        <w:jc w:val="both"/>
        <w:rPr>
          <w:rFonts w:ascii="Times New Roman" w:eastAsia="Calibri" w:hAnsi="Times New Roman" w:cs="Times New Roman"/>
          <w:sz w:val="24"/>
          <w:szCs w:val="24"/>
          <w:lang w:val="sq-AL"/>
        </w:rPr>
      </w:pPr>
      <w:r w:rsidRPr="00340007">
        <w:rPr>
          <w:rFonts w:ascii="Times New Roman" w:eastAsia="Calibri" w:hAnsi="Times New Roman" w:cs="Times New Roman"/>
          <w:sz w:val="24"/>
          <w:szCs w:val="24"/>
          <w:lang w:val="sq-AL"/>
        </w:rPr>
        <w:t>c) Mbështetj</w:t>
      </w:r>
      <w:r>
        <w:rPr>
          <w:rFonts w:ascii="Times New Roman" w:eastAsia="Calibri" w:hAnsi="Times New Roman" w:cs="Times New Roman"/>
          <w:sz w:val="24"/>
          <w:szCs w:val="24"/>
          <w:lang w:val="sq-AL"/>
        </w:rPr>
        <w:t>a</w:t>
      </w:r>
      <w:r w:rsidRPr="00340007">
        <w:rPr>
          <w:rFonts w:ascii="Times New Roman" w:eastAsia="Calibri" w:hAnsi="Times New Roman" w:cs="Times New Roman"/>
          <w:sz w:val="24"/>
          <w:szCs w:val="24"/>
          <w:lang w:val="sq-AL"/>
        </w:rPr>
        <w:t xml:space="preserve"> e madhe për vendet në zhvillim për të lehtësuar pjesëmarrjen e tyre në Shkëmbimin Automatik të Informacionit dhe</w:t>
      </w:r>
      <w:r w:rsidR="00472AE1">
        <w:rPr>
          <w:rFonts w:ascii="Times New Roman" w:eastAsia="Calibri" w:hAnsi="Times New Roman" w:cs="Times New Roman"/>
          <w:sz w:val="24"/>
          <w:szCs w:val="24"/>
          <w:lang w:val="sq-AL"/>
        </w:rPr>
        <w:t xml:space="preserve"> lancimi i Iniciativës Afrikane.</w:t>
      </w:r>
    </w:p>
    <w:p w:rsidR="00472AE1" w:rsidRDefault="00472AE1" w:rsidP="00747C02">
      <w:pPr>
        <w:spacing w:after="0"/>
        <w:jc w:val="both"/>
        <w:rPr>
          <w:rFonts w:ascii="Times New Roman" w:eastAsia="Calibri" w:hAnsi="Times New Roman" w:cs="Times New Roman"/>
          <w:sz w:val="24"/>
          <w:szCs w:val="24"/>
          <w:lang w:val="sq-AL"/>
        </w:rPr>
      </w:pPr>
    </w:p>
    <w:p w:rsidR="00747C02" w:rsidRDefault="003B474A" w:rsidP="00747C02">
      <w:pPr>
        <w:spacing w:after="0"/>
        <w:jc w:val="both"/>
        <w:rPr>
          <w:rFonts w:ascii="Times New Roman" w:eastAsia="Calibri" w:hAnsi="Times New Roman" w:cs="Times New Roman"/>
          <w:sz w:val="24"/>
          <w:szCs w:val="24"/>
          <w:lang w:val="sq-AL"/>
        </w:rPr>
      </w:pPr>
      <w:r w:rsidRPr="00340007">
        <w:rPr>
          <w:rFonts w:ascii="Times New Roman" w:eastAsia="Calibri" w:hAnsi="Times New Roman" w:cs="Times New Roman"/>
          <w:sz w:val="24"/>
          <w:szCs w:val="24"/>
          <w:lang w:val="sq-AL"/>
        </w:rPr>
        <w:t>Shqipëria, m</w:t>
      </w:r>
      <w:r w:rsidR="0089379F">
        <w:rPr>
          <w:rFonts w:ascii="Times New Roman" w:eastAsia="Calibri" w:hAnsi="Times New Roman" w:cs="Times New Roman"/>
          <w:sz w:val="24"/>
          <w:szCs w:val="24"/>
          <w:lang w:val="sq-AL"/>
        </w:rPr>
        <w:t>e</w:t>
      </w:r>
      <w:r>
        <w:rPr>
          <w:rFonts w:ascii="Times New Roman" w:eastAsia="Calibri" w:hAnsi="Times New Roman" w:cs="Times New Roman"/>
          <w:sz w:val="24"/>
          <w:szCs w:val="24"/>
          <w:lang w:val="sq-AL"/>
        </w:rPr>
        <w:t xml:space="preserve"> d</w:t>
      </w:r>
      <w:r w:rsidR="0089379F">
        <w:rPr>
          <w:rFonts w:ascii="Times New Roman" w:eastAsia="Calibri" w:hAnsi="Times New Roman" w:cs="Times New Roman"/>
          <w:sz w:val="24"/>
          <w:szCs w:val="24"/>
          <w:lang w:val="sq-AL"/>
        </w:rPr>
        <w:t>a</w:t>
      </w:r>
      <w:r>
        <w:rPr>
          <w:rFonts w:ascii="Times New Roman" w:eastAsia="Calibri" w:hAnsi="Times New Roman" w:cs="Times New Roman"/>
          <w:sz w:val="24"/>
          <w:szCs w:val="24"/>
          <w:lang w:val="sq-AL"/>
        </w:rPr>
        <w:t>të 29 Tetor 2014, ka nënshkruar Marrëveshjen</w:t>
      </w:r>
      <w:r w:rsidRPr="00340007">
        <w:rPr>
          <w:rFonts w:ascii="Times New Roman" w:eastAsia="Calibri" w:hAnsi="Times New Roman" w:cs="Times New Roman"/>
          <w:sz w:val="24"/>
          <w:szCs w:val="24"/>
          <w:lang w:val="sq-AL"/>
        </w:rPr>
        <w:t xml:space="preserve"> Model Shumëpalëshe të Autoriteteve Kompetente, në zbatim të nenit 6 “Shkëmbimi Automatik i Informacionit” të Konventës për Ndihmën Administrative të Ndërsjelltë në Çështjet Tatimore, të cilën Shqipëria e ka miratuar me Ligjin nr. 146/2013, datë </w:t>
      </w:r>
      <w:r>
        <w:rPr>
          <w:rFonts w:ascii="Times New Roman" w:eastAsia="Calibri" w:hAnsi="Times New Roman" w:cs="Times New Roman"/>
          <w:sz w:val="24"/>
          <w:szCs w:val="24"/>
          <w:lang w:val="sq-AL"/>
        </w:rPr>
        <w:t>0</w:t>
      </w:r>
      <w:r w:rsidRPr="00340007">
        <w:rPr>
          <w:rFonts w:ascii="Times New Roman" w:eastAsia="Calibri" w:hAnsi="Times New Roman" w:cs="Times New Roman"/>
          <w:sz w:val="24"/>
          <w:szCs w:val="24"/>
          <w:lang w:val="sq-AL"/>
        </w:rPr>
        <w:t xml:space="preserve">6.05.2013. Në zbatim të këtij neni të Konventës, nënshkrimi i Marrëveshjes Model Shumëpalëshe të Autoriteteve Kompetente angazhon vendet nënshkruese për zbatimin e shkëmbimit automatik të informacionit në fund të vitit 2017 ose në fund të vitit 2018. </w:t>
      </w:r>
    </w:p>
    <w:p w:rsidR="00747C02" w:rsidRPr="00747C02" w:rsidRDefault="00747C02" w:rsidP="00747C02">
      <w:pPr>
        <w:spacing w:after="0" w:line="240" w:lineRule="auto"/>
        <w:jc w:val="both"/>
        <w:rPr>
          <w:rFonts w:ascii="Times New Roman" w:eastAsia="Calibri" w:hAnsi="Times New Roman" w:cs="Times New Roman"/>
          <w:sz w:val="24"/>
          <w:szCs w:val="24"/>
          <w:lang w:val="sq-AL"/>
        </w:rPr>
      </w:pPr>
    </w:p>
    <w:p w:rsidR="003B474A" w:rsidRPr="00E878D8" w:rsidRDefault="003B474A" w:rsidP="00E878D8">
      <w:pPr>
        <w:jc w:val="both"/>
        <w:rPr>
          <w:rFonts w:ascii="Times New Roman" w:eastAsia="Calibri" w:hAnsi="Times New Roman"/>
          <w:sz w:val="24"/>
          <w:szCs w:val="24"/>
          <w:lang w:val="sq-AL"/>
        </w:rPr>
      </w:pPr>
      <w:r w:rsidRPr="00E878D8">
        <w:rPr>
          <w:rFonts w:ascii="Times New Roman" w:eastAsia="Calibri" w:hAnsi="Times New Roman"/>
          <w:sz w:val="24"/>
          <w:szCs w:val="24"/>
          <w:lang w:val="sq-AL"/>
        </w:rPr>
        <w:t xml:space="preserve">Vendet nënshkruese ose ndryshe të quajtura Grupi i Adaptuesve të Hershëm, duke ditur se evazioni tatimor mund të trajtohet në mënyrë efektive vetëm në nivel global, janë angazhuar nëpërmjet marrëveshjes për miratimin e një standardi të </w:t>
      </w:r>
      <w:r w:rsidRPr="00E878D8">
        <w:rPr>
          <w:rFonts w:ascii="Times New Roman" w:eastAsia="Calibri" w:hAnsi="Times New Roman"/>
          <w:sz w:val="24"/>
          <w:szCs w:val="24"/>
          <w:lang w:val="sq-AL"/>
        </w:rPr>
        <w:lastRenderedPageBreak/>
        <w:t xml:space="preserve">vetëm e të ri global, për shkëmbimin automatik të informacionit të tatimpaguesit dhe zbatimin e njëjtë dhe efektiv të këtij standarti; </w:t>
      </w:r>
    </w:p>
    <w:p w:rsidR="00406E65" w:rsidRPr="0002334F" w:rsidRDefault="003B474A" w:rsidP="003B474A">
      <w:pPr>
        <w:jc w:val="both"/>
        <w:rPr>
          <w:rFonts w:ascii="Times New Roman" w:eastAsia="Calibri" w:hAnsi="Times New Roman"/>
          <w:sz w:val="24"/>
          <w:szCs w:val="24"/>
          <w:lang w:val="sq-AL"/>
        </w:rPr>
      </w:pPr>
      <w:r w:rsidRPr="00340007">
        <w:rPr>
          <w:rFonts w:ascii="Times New Roman" w:eastAsia="Calibri" w:hAnsi="Times New Roman"/>
          <w:sz w:val="24"/>
          <w:szCs w:val="24"/>
          <w:lang w:val="sq-AL"/>
        </w:rPr>
        <w:t xml:space="preserve">Sipas standardit të ri global, një gamë e gjerë e informacionit do të shkëmbehet mbi llogaritë </w:t>
      </w:r>
      <w:r w:rsidRPr="00340007">
        <w:rPr>
          <w:rFonts w:ascii="Times New Roman" w:eastAsia="Calibri" w:hAnsi="Times New Roman"/>
          <w:i/>
          <w:sz w:val="24"/>
          <w:szCs w:val="24"/>
          <w:lang w:val="sq-AL"/>
        </w:rPr>
        <w:t>offshore</w:t>
      </w:r>
      <w:r w:rsidRPr="00340007">
        <w:rPr>
          <w:rFonts w:ascii="Times New Roman" w:eastAsia="Calibri" w:hAnsi="Times New Roman"/>
          <w:sz w:val="24"/>
          <w:szCs w:val="24"/>
          <w:lang w:val="sq-AL"/>
        </w:rPr>
        <w:t>, duke përfshirë bilancet e llogar</w:t>
      </w:r>
      <w:r w:rsidR="00E878D8">
        <w:rPr>
          <w:rFonts w:ascii="Times New Roman" w:eastAsia="Calibri" w:hAnsi="Times New Roman"/>
          <w:sz w:val="24"/>
          <w:szCs w:val="24"/>
          <w:lang w:val="sq-AL"/>
        </w:rPr>
        <w:t>ive dhe të pronësisë</w:t>
      </w:r>
      <w:r w:rsidRPr="00340007">
        <w:rPr>
          <w:rFonts w:ascii="Times New Roman" w:eastAsia="Calibri" w:hAnsi="Times New Roman"/>
          <w:sz w:val="24"/>
          <w:szCs w:val="24"/>
          <w:lang w:val="sq-AL"/>
        </w:rPr>
        <w:t xml:space="preserve">. Kjo do të bëjë të mundur </w:t>
      </w:r>
      <w:r w:rsidR="00E878D8">
        <w:rPr>
          <w:rFonts w:ascii="Times New Roman" w:eastAsia="Calibri" w:hAnsi="Times New Roman"/>
          <w:sz w:val="24"/>
          <w:szCs w:val="24"/>
          <w:lang w:val="sq-AL"/>
        </w:rPr>
        <w:t>parandalimin</w:t>
      </w:r>
      <w:r w:rsidRPr="00340007">
        <w:rPr>
          <w:rFonts w:ascii="Times New Roman" w:eastAsia="Calibri" w:hAnsi="Times New Roman"/>
          <w:sz w:val="24"/>
          <w:szCs w:val="24"/>
          <w:lang w:val="sq-AL"/>
        </w:rPr>
        <w:t xml:space="preserve"> e evazionit fiskal dhe t</w:t>
      </w:r>
      <w:r w:rsidR="00E27C50">
        <w:rPr>
          <w:rFonts w:ascii="Times New Roman" w:eastAsia="Calibri" w:hAnsi="Times New Roman"/>
          <w:sz w:val="24"/>
          <w:szCs w:val="24"/>
          <w:lang w:val="sq-AL"/>
        </w:rPr>
        <w:t>rajtimin e mashtrimit fiskal. Kjo pasi,</w:t>
      </w:r>
      <w:r w:rsidRPr="00340007">
        <w:rPr>
          <w:rFonts w:ascii="Times New Roman" w:eastAsia="Calibri" w:hAnsi="Times New Roman"/>
          <w:sz w:val="24"/>
          <w:szCs w:val="24"/>
          <w:lang w:val="sq-AL"/>
        </w:rPr>
        <w:t xml:space="preserve"> veprim</w:t>
      </w:r>
      <w:r w:rsidR="00E27C50">
        <w:rPr>
          <w:rFonts w:ascii="Times New Roman" w:eastAsia="Calibri" w:hAnsi="Times New Roman"/>
          <w:sz w:val="24"/>
          <w:szCs w:val="24"/>
          <w:lang w:val="sq-AL"/>
        </w:rPr>
        <w:t>taria</w:t>
      </w:r>
      <w:r w:rsidRPr="00340007">
        <w:rPr>
          <w:rFonts w:ascii="Times New Roman" w:eastAsia="Calibri" w:hAnsi="Times New Roman"/>
          <w:sz w:val="24"/>
          <w:szCs w:val="24"/>
          <w:lang w:val="sq-AL"/>
        </w:rPr>
        <w:t xml:space="preserve"> e evazorëve </w:t>
      </w:r>
      <w:r w:rsidR="00E27C50">
        <w:rPr>
          <w:rFonts w:ascii="Times New Roman" w:eastAsia="Calibri" w:hAnsi="Times New Roman"/>
          <w:sz w:val="24"/>
          <w:szCs w:val="24"/>
          <w:lang w:val="sq-AL"/>
        </w:rPr>
        <w:t>jo vet</w:t>
      </w:r>
      <w:r w:rsidR="00245577">
        <w:rPr>
          <w:rFonts w:ascii="Times New Roman" w:eastAsia="Calibri" w:hAnsi="Times New Roman"/>
          <w:sz w:val="24"/>
          <w:szCs w:val="24"/>
          <w:lang w:val="sq-AL"/>
        </w:rPr>
        <w:t>ë</w:t>
      </w:r>
      <w:r w:rsidR="00E27C50">
        <w:rPr>
          <w:rFonts w:ascii="Times New Roman" w:eastAsia="Calibri" w:hAnsi="Times New Roman"/>
          <w:sz w:val="24"/>
          <w:szCs w:val="24"/>
          <w:lang w:val="sq-AL"/>
        </w:rPr>
        <w:t xml:space="preserve">m </w:t>
      </w:r>
      <w:r w:rsidRPr="00340007">
        <w:rPr>
          <w:rFonts w:ascii="Times New Roman" w:eastAsia="Calibri" w:hAnsi="Times New Roman"/>
          <w:sz w:val="24"/>
          <w:szCs w:val="24"/>
          <w:lang w:val="sq-AL"/>
        </w:rPr>
        <w:t xml:space="preserve">zvogëlon të ardhurat publike, </w:t>
      </w:r>
      <w:r w:rsidR="00E27C50">
        <w:rPr>
          <w:rFonts w:ascii="Times New Roman" w:eastAsia="Calibri" w:hAnsi="Times New Roman"/>
          <w:sz w:val="24"/>
          <w:szCs w:val="24"/>
          <w:lang w:val="sq-AL"/>
        </w:rPr>
        <w:t xml:space="preserve">por dhe </w:t>
      </w:r>
      <w:r w:rsidRPr="00340007">
        <w:rPr>
          <w:rFonts w:ascii="Times New Roman" w:eastAsia="Calibri" w:hAnsi="Times New Roman"/>
          <w:sz w:val="24"/>
          <w:szCs w:val="24"/>
          <w:lang w:val="sq-AL"/>
        </w:rPr>
        <w:t>dobëson besimin në drejtësinë e sistemit tatimor</w:t>
      </w:r>
      <w:r w:rsidR="00E27C50">
        <w:rPr>
          <w:rFonts w:ascii="Times New Roman" w:eastAsia="Calibri" w:hAnsi="Times New Roman"/>
          <w:sz w:val="24"/>
          <w:szCs w:val="24"/>
          <w:lang w:val="sq-AL"/>
        </w:rPr>
        <w:t>, si</w:t>
      </w:r>
      <w:r w:rsidRPr="00340007">
        <w:rPr>
          <w:rFonts w:ascii="Times New Roman" w:eastAsia="Calibri" w:hAnsi="Times New Roman"/>
          <w:sz w:val="24"/>
          <w:szCs w:val="24"/>
          <w:lang w:val="sq-AL"/>
        </w:rPr>
        <w:t xml:space="preserve"> dhe rrit barrën mbi tatimpaguesit e ndershëm</w:t>
      </w:r>
      <w:r w:rsidR="00E27C50">
        <w:rPr>
          <w:rFonts w:ascii="Times New Roman" w:eastAsia="Calibri" w:hAnsi="Times New Roman"/>
          <w:sz w:val="24"/>
          <w:szCs w:val="24"/>
          <w:lang w:val="sq-AL"/>
        </w:rPr>
        <w:t>.</w:t>
      </w: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t>VLERËSIMI I LIGJSHMËRISË, KUSHTETUTSHMËRISË DHE HARMONIZIMI ME LEGJISLACIONIN NË FUQI VENDAS E NDËRKOMBËTAR</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r w:rsidRPr="00E56539">
        <w:rPr>
          <w:rFonts w:ascii="Times New Roman" w:eastAsia="Times New Roman" w:hAnsi="Times New Roman" w:cs="Times New Roman"/>
          <w:sz w:val="24"/>
          <w:szCs w:val="24"/>
          <w:lang w:val="sq-AL"/>
        </w:rPr>
        <w:t>Ky projektligj është hartuar duke u mbështetur</w:t>
      </w:r>
      <w:r w:rsidR="00E97AEE">
        <w:rPr>
          <w:rFonts w:ascii="Times New Roman" w:eastAsia="Times New Roman" w:hAnsi="Times New Roman" w:cs="Times New Roman"/>
          <w:sz w:val="24"/>
          <w:szCs w:val="24"/>
          <w:lang w:val="sq-AL"/>
        </w:rPr>
        <w:t xml:space="preserve"> </w:t>
      </w:r>
      <w:r w:rsidRPr="00E56539">
        <w:rPr>
          <w:rFonts w:ascii="Times New Roman" w:eastAsia="Times New Roman" w:hAnsi="Times New Roman" w:cs="Times New Roman"/>
          <w:sz w:val="24"/>
          <w:szCs w:val="24"/>
          <w:lang w:val="sq-AL"/>
        </w:rPr>
        <w:t>në nenin 78, 83 pika 1 dhe 155, të Kushtetutës.</w:t>
      </w:r>
    </w:p>
    <w:p w:rsidR="009F3C6B" w:rsidRPr="00E56539" w:rsidRDefault="009F3C6B" w:rsidP="00E56539">
      <w:pPr>
        <w:tabs>
          <w:tab w:val="left" w:pos="284"/>
        </w:tabs>
        <w:spacing w:after="0"/>
        <w:jc w:val="both"/>
        <w:rPr>
          <w:rFonts w:ascii="Times New Roman" w:eastAsia="Times New Roman" w:hAnsi="Times New Roman" w:cs="Times New Roman"/>
          <w:b/>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t xml:space="preserve">VLERËSIMI I SHKALLËS SË PËRAFRIMIT ME </w:t>
      </w:r>
      <w:r w:rsidRPr="00E56539">
        <w:rPr>
          <w:rFonts w:ascii="Times New Roman" w:eastAsia="Times New Roman" w:hAnsi="Times New Roman" w:cs="Times New Roman"/>
          <w:b/>
          <w:i/>
          <w:sz w:val="24"/>
          <w:szCs w:val="24"/>
          <w:lang w:val="sq-AL"/>
        </w:rPr>
        <w:t xml:space="preserve">ACQUIS COMMUNAUTAIRE </w:t>
      </w:r>
      <w:r w:rsidRPr="00E56539">
        <w:rPr>
          <w:rFonts w:ascii="Times New Roman" w:eastAsia="Times New Roman" w:hAnsi="Times New Roman" w:cs="Times New Roman"/>
          <w:b/>
          <w:sz w:val="24"/>
          <w:szCs w:val="24"/>
          <w:lang w:val="sq-AL"/>
        </w:rPr>
        <w:t>(PËR PROJEKTAKET NORMATIVE)</w:t>
      </w:r>
    </w:p>
    <w:p w:rsidR="009F3C6B" w:rsidRPr="00E56539" w:rsidRDefault="009F3C6B" w:rsidP="00E56539">
      <w:pPr>
        <w:tabs>
          <w:tab w:val="left" w:pos="284"/>
        </w:tabs>
        <w:spacing w:after="0"/>
        <w:jc w:val="both"/>
        <w:rPr>
          <w:rFonts w:ascii="Times New Roman" w:eastAsia="Times New Roman" w:hAnsi="Times New Roman" w:cs="Times New Roman"/>
          <w:b/>
          <w:sz w:val="24"/>
          <w:szCs w:val="24"/>
          <w:lang w:val="sq-AL"/>
        </w:rPr>
      </w:pPr>
    </w:p>
    <w:p w:rsidR="00060253" w:rsidRDefault="00F96A51" w:rsidP="00060253">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Ky projektligj </w:t>
      </w:r>
      <w:r w:rsidR="009F3C6B" w:rsidRPr="00E56539">
        <w:rPr>
          <w:rFonts w:ascii="Times New Roman" w:eastAsia="Times New Roman" w:hAnsi="Times New Roman" w:cs="Times New Roman"/>
          <w:sz w:val="24"/>
          <w:szCs w:val="24"/>
          <w:lang w:val="sq-AL"/>
        </w:rPr>
        <w:t>syno</w:t>
      </w:r>
      <w:r>
        <w:rPr>
          <w:rFonts w:ascii="Times New Roman" w:eastAsia="Times New Roman" w:hAnsi="Times New Roman" w:cs="Times New Roman"/>
          <w:sz w:val="24"/>
          <w:szCs w:val="24"/>
          <w:lang w:val="sq-AL"/>
        </w:rPr>
        <w:t>n</w:t>
      </w:r>
      <w:r w:rsidR="00E97AEE">
        <w:rPr>
          <w:rFonts w:ascii="Times New Roman" w:eastAsia="Times New Roman" w:hAnsi="Times New Roman" w:cs="Times New Roman"/>
          <w:sz w:val="24"/>
          <w:szCs w:val="24"/>
          <w:lang w:val="sq-AL"/>
        </w:rPr>
        <w:t xml:space="preserve"> përafrimin </w:t>
      </w:r>
      <w:r w:rsidR="009F3C6B" w:rsidRPr="00E56539">
        <w:rPr>
          <w:rFonts w:ascii="Times New Roman" w:eastAsia="Times New Roman" w:hAnsi="Times New Roman" w:cs="Times New Roman"/>
          <w:sz w:val="24"/>
          <w:szCs w:val="24"/>
          <w:lang w:val="sq-AL"/>
        </w:rPr>
        <w:t>me acquis</w:t>
      </w:r>
      <w:r w:rsidR="00AB2B32" w:rsidRPr="00E56539">
        <w:rPr>
          <w:rFonts w:ascii="Times New Roman" w:eastAsia="Times New Roman" w:hAnsi="Times New Roman" w:cs="Times New Roman"/>
          <w:sz w:val="24"/>
          <w:szCs w:val="24"/>
          <w:lang w:val="sq-AL"/>
        </w:rPr>
        <w:t xml:space="preserve"> communautaire</w:t>
      </w:r>
      <w:r w:rsidR="00060253">
        <w:rPr>
          <w:rFonts w:ascii="Times New Roman" w:eastAsia="Times New Roman" w:hAnsi="Times New Roman" w:cs="Times New Roman"/>
          <w:sz w:val="24"/>
          <w:szCs w:val="24"/>
          <w:lang w:val="sq-AL"/>
        </w:rPr>
        <w:t>, konkretisht Direktiv</w:t>
      </w:r>
      <w:r w:rsidR="003629F9">
        <w:rPr>
          <w:rFonts w:ascii="Times New Roman" w:eastAsia="Times New Roman" w:hAnsi="Times New Roman" w:cs="Times New Roman"/>
          <w:sz w:val="24"/>
          <w:szCs w:val="24"/>
          <w:lang w:val="sq-AL"/>
        </w:rPr>
        <w:t>ë</w:t>
      </w:r>
      <w:r w:rsidR="00E97AEE">
        <w:rPr>
          <w:rFonts w:ascii="Times New Roman" w:eastAsia="Times New Roman" w:hAnsi="Times New Roman" w:cs="Times New Roman"/>
          <w:sz w:val="24"/>
          <w:szCs w:val="24"/>
          <w:lang w:val="sq-AL"/>
        </w:rPr>
        <w:t>n</w:t>
      </w:r>
      <w:r w:rsidR="00060253">
        <w:rPr>
          <w:rFonts w:ascii="Times New Roman" w:eastAsia="Times New Roman" w:hAnsi="Times New Roman" w:cs="Times New Roman"/>
          <w:sz w:val="24"/>
          <w:szCs w:val="24"/>
          <w:lang w:val="sq-AL"/>
        </w:rPr>
        <w:t xml:space="preserve"> </w:t>
      </w:r>
      <w:r w:rsidR="00415B69" w:rsidRPr="00415B69">
        <w:rPr>
          <w:rFonts w:ascii="Times New Roman" w:eastAsia="Times New Roman" w:hAnsi="Times New Roman" w:cs="Times New Roman"/>
          <w:sz w:val="24"/>
          <w:szCs w:val="24"/>
          <w:lang w:val="sq-AL"/>
        </w:rPr>
        <w:t>2011/16/EU</w:t>
      </w:r>
      <w:r w:rsidR="00415B69">
        <w:rPr>
          <w:rFonts w:ascii="Times New Roman" w:eastAsia="Times New Roman" w:hAnsi="Times New Roman" w:cs="Times New Roman"/>
          <w:sz w:val="24"/>
          <w:szCs w:val="24"/>
          <w:lang w:val="sq-AL"/>
        </w:rPr>
        <w:t xml:space="preserve"> </w:t>
      </w:r>
      <w:r w:rsidR="00060253">
        <w:rPr>
          <w:rFonts w:ascii="Times New Roman" w:eastAsia="Times New Roman" w:hAnsi="Times New Roman" w:cs="Times New Roman"/>
          <w:sz w:val="24"/>
          <w:szCs w:val="24"/>
          <w:lang w:val="sq-AL"/>
        </w:rPr>
        <w:t>mbi bashk</w:t>
      </w:r>
      <w:r w:rsidR="003629F9">
        <w:rPr>
          <w:rFonts w:ascii="Times New Roman" w:eastAsia="Times New Roman" w:hAnsi="Times New Roman" w:cs="Times New Roman"/>
          <w:sz w:val="24"/>
          <w:szCs w:val="24"/>
          <w:lang w:val="sq-AL"/>
        </w:rPr>
        <w:t>ë</w:t>
      </w:r>
      <w:r w:rsidR="00060253">
        <w:rPr>
          <w:rFonts w:ascii="Times New Roman" w:eastAsia="Times New Roman" w:hAnsi="Times New Roman" w:cs="Times New Roman"/>
          <w:sz w:val="24"/>
          <w:szCs w:val="24"/>
          <w:lang w:val="sq-AL"/>
        </w:rPr>
        <w:t>punimin administrative n</w:t>
      </w:r>
      <w:r w:rsidR="003629F9">
        <w:rPr>
          <w:rFonts w:ascii="Times New Roman" w:eastAsia="Times New Roman" w:hAnsi="Times New Roman" w:cs="Times New Roman"/>
          <w:sz w:val="24"/>
          <w:szCs w:val="24"/>
          <w:lang w:val="sq-AL"/>
        </w:rPr>
        <w:t>ë</w:t>
      </w:r>
      <w:r w:rsidR="00060253">
        <w:rPr>
          <w:rFonts w:ascii="Times New Roman" w:eastAsia="Times New Roman" w:hAnsi="Times New Roman" w:cs="Times New Roman"/>
          <w:sz w:val="24"/>
          <w:szCs w:val="24"/>
          <w:lang w:val="sq-AL"/>
        </w:rPr>
        <w:t xml:space="preserve"> fush</w:t>
      </w:r>
      <w:r w:rsidR="003629F9">
        <w:rPr>
          <w:rFonts w:ascii="Times New Roman" w:eastAsia="Times New Roman" w:hAnsi="Times New Roman" w:cs="Times New Roman"/>
          <w:sz w:val="24"/>
          <w:szCs w:val="24"/>
          <w:lang w:val="sq-AL"/>
        </w:rPr>
        <w:t>ë</w:t>
      </w:r>
      <w:r w:rsidR="00060253">
        <w:rPr>
          <w:rFonts w:ascii="Times New Roman" w:eastAsia="Times New Roman" w:hAnsi="Times New Roman" w:cs="Times New Roman"/>
          <w:sz w:val="24"/>
          <w:szCs w:val="24"/>
          <w:lang w:val="sq-AL"/>
        </w:rPr>
        <w:t>n e tatimeve</w:t>
      </w:r>
      <w:r w:rsidR="005A263E">
        <w:rPr>
          <w:rFonts w:ascii="Times New Roman" w:eastAsia="Times New Roman" w:hAnsi="Times New Roman" w:cs="Times New Roman"/>
          <w:sz w:val="24"/>
          <w:szCs w:val="24"/>
          <w:lang w:val="sq-AL"/>
        </w:rPr>
        <w:t>, t</w:t>
      </w:r>
      <w:r w:rsidR="003629F9">
        <w:rPr>
          <w:rFonts w:ascii="Times New Roman" w:eastAsia="Times New Roman" w:hAnsi="Times New Roman" w:cs="Times New Roman"/>
          <w:sz w:val="24"/>
          <w:szCs w:val="24"/>
          <w:lang w:val="sq-AL"/>
        </w:rPr>
        <w:t>ë</w:t>
      </w:r>
      <w:r w:rsidR="005A263E">
        <w:rPr>
          <w:rFonts w:ascii="Times New Roman" w:eastAsia="Times New Roman" w:hAnsi="Times New Roman" w:cs="Times New Roman"/>
          <w:sz w:val="24"/>
          <w:szCs w:val="24"/>
          <w:lang w:val="sq-AL"/>
        </w:rPr>
        <w:t xml:space="preserve"> ndryshuar (sipas shtojc</w:t>
      </w:r>
      <w:r w:rsidR="003629F9">
        <w:rPr>
          <w:rFonts w:ascii="Times New Roman" w:eastAsia="Times New Roman" w:hAnsi="Times New Roman" w:cs="Times New Roman"/>
          <w:sz w:val="24"/>
          <w:szCs w:val="24"/>
          <w:lang w:val="sq-AL"/>
        </w:rPr>
        <w:t>ë</w:t>
      </w:r>
      <w:r w:rsidR="005A263E">
        <w:rPr>
          <w:rFonts w:ascii="Times New Roman" w:eastAsia="Times New Roman" w:hAnsi="Times New Roman" w:cs="Times New Roman"/>
          <w:sz w:val="24"/>
          <w:szCs w:val="24"/>
          <w:lang w:val="sq-AL"/>
        </w:rPr>
        <w:t>s bashk</w:t>
      </w:r>
      <w:r w:rsidR="003629F9">
        <w:rPr>
          <w:rFonts w:ascii="Times New Roman" w:eastAsia="Times New Roman" w:hAnsi="Times New Roman" w:cs="Times New Roman"/>
          <w:sz w:val="24"/>
          <w:szCs w:val="24"/>
          <w:lang w:val="sq-AL"/>
        </w:rPr>
        <w:t>ë</w:t>
      </w:r>
      <w:r w:rsidR="005A263E">
        <w:rPr>
          <w:rFonts w:ascii="Times New Roman" w:eastAsia="Times New Roman" w:hAnsi="Times New Roman" w:cs="Times New Roman"/>
          <w:sz w:val="24"/>
          <w:szCs w:val="24"/>
          <w:lang w:val="sq-AL"/>
        </w:rPr>
        <w:t>lidhur).</w:t>
      </w:r>
    </w:p>
    <w:p w:rsidR="005A263E" w:rsidRDefault="005A263E" w:rsidP="00060253">
      <w:pPr>
        <w:tabs>
          <w:tab w:val="left" w:pos="284"/>
        </w:tabs>
        <w:spacing w:after="0"/>
        <w:jc w:val="both"/>
        <w:rPr>
          <w:rFonts w:ascii="Times New Roman" w:eastAsia="Times New Roman" w:hAnsi="Times New Roman" w:cs="Times New Roman"/>
          <w:sz w:val="24"/>
          <w:szCs w:val="24"/>
          <w:lang w:val="sq-AL"/>
        </w:rPr>
      </w:pPr>
    </w:p>
    <w:p w:rsidR="00E27C50" w:rsidRDefault="005A263E" w:rsidP="00060253">
      <w:pPr>
        <w:tabs>
          <w:tab w:val="left" w:pos="284"/>
        </w:tabs>
        <w:spacing w:after="0"/>
        <w:jc w:val="both"/>
        <w:rPr>
          <w:rFonts w:ascii="Times New Roman" w:eastAsia="Times New Roman" w:hAnsi="Times New Roman" w:cs="Times New Roman"/>
          <w:sz w:val="24"/>
          <w:szCs w:val="24"/>
          <w:lang w:val="sq-AL"/>
        </w:rPr>
      </w:pPr>
      <w:r w:rsidRPr="005A263E">
        <w:rPr>
          <w:rFonts w:ascii="Times New Roman" w:eastAsia="Times New Roman" w:hAnsi="Times New Roman" w:cs="Times New Roman"/>
          <w:sz w:val="24"/>
          <w:szCs w:val="24"/>
          <w:lang w:val="sq-AL"/>
        </w:rPr>
        <w:t xml:space="preserve">Përgatitja e projektligjit është bazuar në eksperiencat e </w:t>
      </w:r>
      <w:r>
        <w:rPr>
          <w:rFonts w:ascii="Times New Roman" w:eastAsia="Times New Roman" w:hAnsi="Times New Roman" w:cs="Times New Roman"/>
          <w:sz w:val="24"/>
          <w:szCs w:val="24"/>
          <w:lang w:val="sq-AL"/>
        </w:rPr>
        <w:t>zbatimit t</w:t>
      </w:r>
      <w:r w:rsidR="003629F9">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CRS</w:t>
      </w:r>
      <w:r w:rsidRPr="005A263E">
        <w:rPr>
          <w:rFonts w:ascii="Times New Roman" w:eastAsia="Times New Roman" w:hAnsi="Times New Roman" w:cs="Times New Roman"/>
          <w:sz w:val="24"/>
          <w:szCs w:val="24"/>
          <w:lang w:val="sq-AL"/>
        </w:rPr>
        <w:t xml:space="preserve"> në</w:t>
      </w:r>
      <w:r>
        <w:rPr>
          <w:rFonts w:ascii="Times New Roman" w:eastAsia="Times New Roman" w:hAnsi="Times New Roman" w:cs="Times New Roman"/>
          <w:sz w:val="24"/>
          <w:szCs w:val="24"/>
          <w:lang w:val="sq-AL"/>
        </w:rPr>
        <w:t xml:space="preserve"> </w:t>
      </w:r>
      <w:r w:rsidRPr="005A263E">
        <w:rPr>
          <w:rFonts w:ascii="Times New Roman" w:eastAsia="Times New Roman" w:hAnsi="Times New Roman" w:cs="Times New Roman"/>
          <w:sz w:val="24"/>
          <w:szCs w:val="24"/>
          <w:lang w:val="sq-AL"/>
        </w:rPr>
        <w:t>vendet e rajonit si dhe në ato të vendeve të zhvilluara. Janë përshtatur një numër</w:t>
      </w:r>
      <w:r>
        <w:rPr>
          <w:rFonts w:ascii="Times New Roman" w:eastAsia="Times New Roman" w:hAnsi="Times New Roman" w:cs="Times New Roman"/>
          <w:sz w:val="24"/>
          <w:szCs w:val="24"/>
          <w:lang w:val="sq-AL"/>
        </w:rPr>
        <w:t xml:space="preserve"> </w:t>
      </w:r>
      <w:r w:rsidRPr="005A263E">
        <w:rPr>
          <w:rFonts w:ascii="Times New Roman" w:eastAsia="Times New Roman" w:hAnsi="Times New Roman" w:cs="Times New Roman"/>
          <w:sz w:val="24"/>
          <w:szCs w:val="24"/>
          <w:lang w:val="sq-AL"/>
        </w:rPr>
        <w:t xml:space="preserve">i konsiderueshëm elementesh dhe mekanizmash ligjore të fushës së </w:t>
      </w:r>
      <w:r>
        <w:rPr>
          <w:rFonts w:ascii="Times New Roman" w:eastAsia="Times New Roman" w:hAnsi="Times New Roman" w:cs="Times New Roman"/>
          <w:sz w:val="24"/>
          <w:szCs w:val="24"/>
          <w:lang w:val="sq-AL"/>
        </w:rPr>
        <w:t>shk</w:t>
      </w:r>
      <w:r w:rsidR="003629F9">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mbimit automatik t</w:t>
      </w:r>
      <w:r w:rsidR="003629F9">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informacionit</w:t>
      </w:r>
      <w:r w:rsidRPr="005A263E">
        <w:rPr>
          <w:rFonts w:ascii="Times New Roman" w:eastAsia="Times New Roman" w:hAnsi="Times New Roman" w:cs="Times New Roman"/>
          <w:sz w:val="24"/>
          <w:szCs w:val="24"/>
          <w:lang w:val="sq-AL"/>
        </w:rPr>
        <w:t xml:space="preserve"> nga</w:t>
      </w:r>
      <w:r>
        <w:rPr>
          <w:rFonts w:ascii="Times New Roman" w:eastAsia="Times New Roman" w:hAnsi="Times New Roman" w:cs="Times New Roman"/>
          <w:sz w:val="24"/>
          <w:szCs w:val="24"/>
          <w:lang w:val="sq-AL"/>
        </w:rPr>
        <w:t xml:space="preserve"> </w:t>
      </w:r>
      <w:r w:rsidRPr="005A263E">
        <w:rPr>
          <w:rFonts w:ascii="Times New Roman" w:eastAsia="Times New Roman" w:hAnsi="Times New Roman" w:cs="Times New Roman"/>
          <w:sz w:val="24"/>
          <w:szCs w:val="24"/>
          <w:lang w:val="sq-AL"/>
        </w:rPr>
        <w:t xml:space="preserve">vende në të cilat </w:t>
      </w:r>
      <w:r>
        <w:rPr>
          <w:rFonts w:ascii="Times New Roman" w:eastAsia="Times New Roman" w:hAnsi="Times New Roman" w:cs="Times New Roman"/>
          <w:sz w:val="24"/>
          <w:szCs w:val="24"/>
          <w:lang w:val="sq-AL"/>
        </w:rPr>
        <w:t>ky proces</w:t>
      </w:r>
      <w:r w:rsidRPr="005A263E">
        <w:rPr>
          <w:rFonts w:ascii="Times New Roman" w:eastAsia="Times New Roman" w:hAnsi="Times New Roman" w:cs="Times New Roman"/>
          <w:sz w:val="24"/>
          <w:szCs w:val="24"/>
          <w:lang w:val="sq-AL"/>
        </w:rPr>
        <w:t xml:space="preserve"> luan një rol prioritar</w:t>
      </w:r>
      <w:r>
        <w:rPr>
          <w:rFonts w:ascii="Times New Roman" w:eastAsia="Times New Roman" w:hAnsi="Times New Roman" w:cs="Times New Roman"/>
          <w:sz w:val="24"/>
          <w:szCs w:val="24"/>
          <w:lang w:val="sq-AL"/>
        </w:rPr>
        <w:t xml:space="preserve">. </w:t>
      </w:r>
    </w:p>
    <w:p w:rsidR="00E27C50" w:rsidRPr="00E56539" w:rsidRDefault="00E27C50"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t>PËRMBLEDHJE SHPJEGUESE E PËRMBAJTJES SË PROJEKTAKTIT</w:t>
      </w:r>
    </w:p>
    <w:p w:rsidR="009F3C6B" w:rsidRPr="00E56539" w:rsidRDefault="009F3C6B" w:rsidP="00E56539">
      <w:pPr>
        <w:tabs>
          <w:tab w:val="left" w:pos="284"/>
        </w:tabs>
        <w:spacing w:after="0"/>
        <w:jc w:val="both"/>
        <w:rPr>
          <w:rFonts w:ascii="Times New Roman" w:eastAsia="Times New Roman" w:hAnsi="Times New Roman" w:cs="Times New Roman"/>
          <w:b/>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Ky projektligj përbëhet nga 5 krerë dhe 19 nene.</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b/>
          <w:sz w:val="24"/>
          <w:szCs w:val="24"/>
          <w:lang w:val="sq-AL"/>
        </w:rPr>
        <w:t>Kreu I</w:t>
      </w:r>
      <w:r w:rsidRPr="003B474A">
        <w:rPr>
          <w:rFonts w:ascii="Times New Roman" w:eastAsia="Times New Roman" w:hAnsi="Times New Roman" w:cs="Times New Roman"/>
          <w:sz w:val="24"/>
          <w:szCs w:val="24"/>
          <w:lang w:val="sq-AL"/>
        </w:rPr>
        <w:t xml:space="preserve"> përcakton qëllimin, objektin dhe fushën e veprimit të ligjit.</w:t>
      </w:r>
    </w:p>
    <w:p w:rsidR="00D21202" w:rsidRDefault="00D21202" w:rsidP="00D21202">
      <w:pPr>
        <w:tabs>
          <w:tab w:val="left" w:pos="284"/>
        </w:tabs>
        <w:spacing w:after="0" w:line="240" w:lineRule="auto"/>
        <w:jc w:val="both"/>
        <w:rPr>
          <w:rFonts w:ascii="Times New Roman" w:eastAsia="Times New Roman" w:hAnsi="Times New Roman" w:cs="Times New Roman"/>
          <w:sz w:val="24"/>
          <w:szCs w:val="24"/>
          <w:lang w:val="sq-AL"/>
        </w:rPr>
      </w:pPr>
    </w:p>
    <w:p w:rsidR="00D21202" w:rsidRDefault="00D21202"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Neni </w:t>
      </w:r>
      <w:r w:rsidR="003B474A" w:rsidRPr="003B474A">
        <w:rPr>
          <w:rFonts w:ascii="Times New Roman" w:eastAsia="Times New Roman" w:hAnsi="Times New Roman" w:cs="Times New Roman"/>
          <w:sz w:val="24"/>
          <w:szCs w:val="24"/>
          <w:lang w:val="sq-AL"/>
        </w:rPr>
        <w:t>1,</w:t>
      </w:r>
      <w:r>
        <w:rPr>
          <w:rFonts w:ascii="Times New Roman" w:eastAsia="Times New Roman" w:hAnsi="Times New Roman" w:cs="Times New Roman"/>
          <w:sz w:val="24"/>
          <w:szCs w:val="24"/>
          <w:lang w:val="sq-AL"/>
        </w:rPr>
        <w:t xml:space="preserve"> parashikon objektin e projektligjit q</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ka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b</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j</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me p</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rcaktimin e rregullave n</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lidhje me shk</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mbimin automatik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informacionit, detyrimin e institucioneve </w:t>
      </w:r>
      <w:r w:rsidRPr="00D65495">
        <w:rPr>
          <w:rFonts w:ascii="Times New Roman" w:hAnsi="Times New Roman" w:cs="Times New Roman"/>
          <w:sz w:val="24"/>
          <w:szCs w:val="24"/>
          <w:lang w:val="sq-AL"/>
        </w:rPr>
        <w:t>Financiare Raportuese për mbledhjen dhe raportimin e informacioneve të caktuara financiare pranë Autoritetit Kompetent</w:t>
      </w:r>
      <w:r>
        <w:rPr>
          <w:rFonts w:ascii="Times New Roman" w:eastAsia="Times New Roman" w:hAnsi="Times New Roman" w:cs="Times New Roman"/>
          <w:sz w:val="24"/>
          <w:szCs w:val="24"/>
          <w:lang w:val="sq-AL"/>
        </w:rPr>
        <w:t xml:space="preserve">, si dhe </w:t>
      </w:r>
      <w:r w:rsidRPr="00D65495">
        <w:rPr>
          <w:rFonts w:ascii="Times New Roman" w:hAnsi="Times New Roman" w:cs="Times New Roman"/>
          <w:sz w:val="24"/>
          <w:szCs w:val="24"/>
          <w:lang w:val="sq-AL"/>
        </w:rPr>
        <w:t>detyrat dhe kompetencat e autoritetit kompetent për të siguruar zbatimin efektiv dhe përputhshmërinë me Standardin e Përbashkët të Raportimit</w:t>
      </w:r>
      <w:r>
        <w:rPr>
          <w:rFonts w:ascii="Times New Roman" w:hAnsi="Times New Roman" w:cs="Times New Roman"/>
          <w:sz w:val="24"/>
          <w:szCs w:val="24"/>
          <w:lang w:val="sq-AL"/>
        </w:rPr>
        <w:t>.</w:t>
      </w:r>
    </w:p>
    <w:p w:rsidR="00D21202" w:rsidRDefault="00D21202" w:rsidP="00D21202">
      <w:pPr>
        <w:tabs>
          <w:tab w:val="left" w:pos="284"/>
        </w:tabs>
        <w:spacing w:after="0" w:line="240" w:lineRule="auto"/>
        <w:jc w:val="both"/>
        <w:rPr>
          <w:rFonts w:ascii="Times New Roman" w:eastAsia="Times New Roman" w:hAnsi="Times New Roman" w:cs="Times New Roman"/>
          <w:sz w:val="24"/>
          <w:szCs w:val="24"/>
          <w:lang w:val="sq-AL"/>
        </w:rPr>
      </w:pPr>
    </w:p>
    <w:p w:rsidR="00D21202" w:rsidRDefault="00D21202"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 xml:space="preserve">Nenin </w:t>
      </w:r>
      <w:r w:rsidR="003B474A" w:rsidRPr="003B474A">
        <w:rPr>
          <w:rFonts w:ascii="Times New Roman" w:eastAsia="Times New Roman" w:hAnsi="Times New Roman" w:cs="Times New Roman"/>
          <w:sz w:val="24"/>
          <w:szCs w:val="24"/>
          <w:lang w:val="sq-AL"/>
        </w:rPr>
        <w:t>2</w:t>
      </w:r>
      <w:r>
        <w:rPr>
          <w:rFonts w:ascii="Times New Roman" w:eastAsia="Times New Roman" w:hAnsi="Times New Roman" w:cs="Times New Roman"/>
          <w:sz w:val="24"/>
          <w:szCs w:val="24"/>
          <w:lang w:val="sq-AL"/>
        </w:rPr>
        <w:t>, parashikon q</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llimin e projektligjit q</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synon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siguroj</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Pr>
          <w:rFonts w:ascii="Times New Roman" w:hAnsi="Times New Roman" w:cs="Times New Roman"/>
          <w:sz w:val="24"/>
          <w:szCs w:val="24"/>
          <w:shd w:val="clear" w:color="auto" w:fill="FFFFFF"/>
          <w:lang w:val="sq-AL"/>
        </w:rPr>
        <w:t>zbatimin</w:t>
      </w:r>
      <w:r w:rsidRPr="00D65495">
        <w:rPr>
          <w:rFonts w:ascii="Times New Roman" w:hAnsi="Times New Roman" w:cs="Times New Roman"/>
          <w:sz w:val="24"/>
          <w:szCs w:val="24"/>
          <w:shd w:val="clear" w:color="auto" w:fill="FFFFFF"/>
          <w:lang w:val="sq-AL"/>
        </w:rPr>
        <w:t xml:space="preserve"> </w:t>
      </w:r>
      <w:r>
        <w:rPr>
          <w:rFonts w:ascii="Times New Roman" w:hAnsi="Times New Roman" w:cs="Times New Roman"/>
          <w:sz w:val="24"/>
          <w:szCs w:val="24"/>
          <w:shd w:val="clear" w:color="auto" w:fill="FFFFFF"/>
          <w:lang w:val="sq-AL"/>
        </w:rPr>
        <w:t>e</w:t>
      </w:r>
      <w:r w:rsidRPr="00D65495">
        <w:rPr>
          <w:rFonts w:ascii="Times New Roman" w:hAnsi="Times New Roman" w:cs="Times New Roman"/>
          <w:sz w:val="24"/>
          <w:szCs w:val="24"/>
          <w:shd w:val="clear" w:color="auto" w:fill="FFFFFF"/>
          <w:lang w:val="sq-AL"/>
        </w:rPr>
        <w:t xml:space="preserve"> dispozitave të Konventës për Ndihmën e Ndërsjelltë Administrative në çështje tatimore, si dhe Marrëveshjes Shumëpalëshe të Autoritetit Kompetent për</w:t>
      </w:r>
      <w:r w:rsidRPr="00D65495">
        <w:rPr>
          <w:rFonts w:ascii="Times New Roman" w:hAnsi="Times New Roman" w:cs="Times New Roman"/>
          <w:sz w:val="24"/>
          <w:szCs w:val="24"/>
          <w:lang w:val="sq-AL"/>
        </w:rPr>
        <w:t xml:space="preserve"> </w:t>
      </w:r>
      <w:r w:rsidRPr="00D65495">
        <w:rPr>
          <w:rFonts w:ascii="Times New Roman" w:hAnsi="Times New Roman" w:cs="Times New Roman"/>
          <w:sz w:val="24"/>
          <w:szCs w:val="24"/>
          <w:shd w:val="clear" w:color="auto" w:fill="FFFFFF"/>
          <w:lang w:val="sq-AL"/>
        </w:rPr>
        <w:t>Shkëmbimin Automatik të Informacionit të Llogarive Financiare</w:t>
      </w:r>
      <w:r>
        <w:rPr>
          <w:rFonts w:ascii="Times New Roman" w:eastAsia="Times New Roman" w:hAnsi="Times New Roman" w:cs="Times New Roman"/>
          <w:sz w:val="24"/>
          <w:szCs w:val="24"/>
          <w:lang w:val="sq-AL"/>
        </w:rPr>
        <w:t>.</w:t>
      </w:r>
    </w:p>
    <w:p w:rsidR="003B474A" w:rsidRPr="003B474A" w:rsidRDefault="00D21202"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Neni</w:t>
      </w:r>
      <w:r w:rsidR="003B474A" w:rsidRPr="003B474A">
        <w:rPr>
          <w:rFonts w:ascii="Times New Roman" w:eastAsia="Times New Roman" w:hAnsi="Times New Roman" w:cs="Times New Roman"/>
          <w:sz w:val="24"/>
          <w:szCs w:val="24"/>
          <w:lang w:val="sq-AL"/>
        </w:rPr>
        <w:t xml:space="preserve"> 3</w:t>
      </w:r>
      <w:r>
        <w:rPr>
          <w:rFonts w:ascii="Times New Roman" w:eastAsia="Times New Roman" w:hAnsi="Times New Roman" w:cs="Times New Roman"/>
          <w:sz w:val="24"/>
          <w:szCs w:val="24"/>
          <w:lang w:val="sq-AL"/>
        </w:rPr>
        <w:t xml:space="preserve">, përcakton </w:t>
      </w:r>
      <w:r>
        <w:rPr>
          <w:rFonts w:ascii="Times New Roman" w:hAnsi="Times New Roman" w:cs="Times New Roman"/>
          <w:sz w:val="24"/>
          <w:szCs w:val="24"/>
          <w:lang w:val="sq-AL"/>
        </w:rPr>
        <w:t>s</w:t>
      </w:r>
      <w:r w:rsidRPr="00D65495">
        <w:rPr>
          <w:rFonts w:ascii="Times New Roman" w:hAnsi="Times New Roman" w:cs="Times New Roman"/>
          <w:sz w:val="24"/>
          <w:szCs w:val="24"/>
          <w:lang w:val="sq-AL"/>
        </w:rPr>
        <w:t>ubjekte</w:t>
      </w:r>
      <w:r>
        <w:rPr>
          <w:rFonts w:ascii="Times New Roman" w:hAnsi="Times New Roman" w:cs="Times New Roman"/>
          <w:sz w:val="24"/>
          <w:szCs w:val="24"/>
          <w:lang w:val="sq-AL"/>
        </w:rPr>
        <w:t>te</w:t>
      </w:r>
      <w:r w:rsidRPr="00D65495">
        <w:rPr>
          <w:rFonts w:ascii="Times New Roman" w:hAnsi="Times New Roman" w:cs="Times New Roman"/>
          <w:sz w:val="24"/>
          <w:szCs w:val="24"/>
          <w:lang w:val="sq-AL"/>
        </w:rPr>
        <w:t xml:space="preserve"> këtij ligji </w:t>
      </w:r>
      <w:r>
        <w:rPr>
          <w:rFonts w:ascii="Times New Roman" w:hAnsi="Times New Roman" w:cs="Times New Roman"/>
          <w:sz w:val="24"/>
          <w:szCs w:val="24"/>
          <w:lang w:val="sq-AL"/>
        </w:rPr>
        <w:t>q</w:t>
      </w:r>
      <w:r w:rsidR="00245577">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janë Institucionet Financiare Raportuese në Republikën e Shqipërisë që ngarkohen për raportimin e Llogarive të Raportueshme, të mbajtura nga Personat e Raportueshëm</w:t>
      </w:r>
      <w:r>
        <w:rPr>
          <w:rFonts w:ascii="Times New Roman" w:hAnsi="Times New Roman" w:cs="Times New Roman"/>
          <w:sz w:val="24"/>
          <w:szCs w:val="24"/>
          <w:lang w:val="sq-AL"/>
        </w:rPr>
        <w:t>.</w:t>
      </w:r>
    </w:p>
    <w:p w:rsidR="00D21202" w:rsidRDefault="00D21202" w:rsidP="00D21202">
      <w:pPr>
        <w:tabs>
          <w:tab w:val="left" w:pos="284"/>
        </w:tabs>
        <w:spacing w:after="0" w:line="240" w:lineRule="auto"/>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Në nenin 4, jepen përkufizime për termat kyç të përdorur në këtë projektligj.</w:t>
      </w:r>
    </w:p>
    <w:p w:rsidR="003B474A" w:rsidRPr="003B474A" w:rsidRDefault="003B474A" w:rsidP="00D21202">
      <w:pPr>
        <w:tabs>
          <w:tab w:val="left" w:pos="284"/>
        </w:tabs>
        <w:spacing w:after="0" w:line="240" w:lineRule="auto"/>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b/>
          <w:sz w:val="24"/>
          <w:szCs w:val="24"/>
          <w:lang w:val="sq-AL"/>
        </w:rPr>
        <w:t xml:space="preserve">Kreu II </w:t>
      </w:r>
      <w:r w:rsidRPr="003B474A">
        <w:rPr>
          <w:rFonts w:ascii="Times New Roman" w:eastAsia="Times New Roman" w:hAnsi="Times New Roman" w:cs="Times New Roman"/>
          <w:sz w:val="24"/>
          <w:szCs w:val="24"/>
          <w:lang w:val="sq-AL"/>
        </w:rPr>
        <w:t xml:space="preserve">përcakton procedurat e raportimit dhe verifikimit të duhur që qëndrojnë në themel të shkëmbimit automatik të informacionit të llogarisë financiare. Në këtë kre përcaktohen rregullat që u kërkohen institucioneve financiare për të raportuar informacion në pajtim me qëllimin e raportimit dhe për të ndjekur procedurat e verifikimit të duhur në zbatim të Standartit të Përbashkët të Raportimit. </w:t>
      </w:r>
    </w:p>
    <w:p w:rsidR="00D21202" w:rsidRDefault="00D21202"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Neni 5</w:t>
      </w:r>
      <w:r w:rsidR="00D21202">
        <w:rPr>
          <w:rFonts w:ascii="Times New Roman" w:eastAsia="Times New Roman" w:hAnsi="Times New Roman" w:cs="Times New Roman"/>
          <w:sz w:val="24"/>
          <w:szCs w:val="24"/>
          <w:lang w:val="sq-AL"/>
        </w:rPr>
        <w:t>,</w:t>
      </w:r>
      <w:r w:rsidRPr="003B474A">
        <w:rPr>
          <w:rFonts w:ascii="Times New Roman" w:eastAsia="Times New Roman" w:hAnsi="Times New Roman" w:cs="Times New Roman"/>
          <w:sz w:val="24"/>
          <w:szCs w:val="24"/>
          <w:lang w:val="sq-AL"/>
        </w:rPr>
        <w:t xml:space="preserve"> përmban kërkesën e përgjithshme të raportimit që zbatohet për Institucionet Financiare Raportuese. Paragrafi 1 dhe 2 specifikojnë detyrimin e Institucioneve Financiare Raportuese në Republikën e Shqipërisë për t’i raportuar Autoritetit Kompetent informacionin mbi llogaritë e raportueshme vjetore brenda datës 30 Maj të vitit vijues, si rregull i përgjithshëm, edhe në rastet kur nuk është identifikuar asnjë </w:t>
      </w:r>
      <w:r w:rsidRPr="003B474A">
        <w:rPr>
          <w:rFonts w:ascii="Times New Roman" w:hAnsi="Times New Roman" w:cs="Times New Roman"/>
          <w:sz w:val="24"/>
          <w:szCs w:val="24"/>
          <w:lang w:val="sq-AL"/>
        </w:rPr>
        <w:t>Llogari e Raportueshme</w:t>
      </w:r>
      <w:r w:rsidRPr="003B474A">
        <w:rPr>
          <w:rFonts w:ascii="Times New Roman" w:eastAsia="Times New Roman" w:hAnsi="Times New Roman" w:cs="Times New Roman"/>
          <w:sz w:val="24"/>
          <w:szCs w:val="24"/>
          <w:lang w:val="sq-AL"/>
        </w:rPr>
        <w:t xml:space="preserve">, ndërsa paragrafi 3 parashikon mënyrën e raportimit. </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D90E2D" w:rsidP="003B474A">
      <w:pPr>
        <w:jc w:val="both"/>
        <w:rPr>
          <w:rFonts w:ascii="Times New Roman" w:hAnsi="Times New Roman" w:cs="Times New Roman"/>
          <w:color w:val="000000" w:themeColor="text1"/>
          <w:sz w:val="24"/>
          <w:szCs w:val="24"/>
          <w:lang w:val="sq-AL"/>
        </w:rPr>
      </w:pPr>
      <w:r>
        <w:rPr>
          <w:rFonts w:ascii="Times New Roman" w:eastAsia="Times New Roman" w:hAnsi="Times New Roman" w:cs="Times New Roman"/>
          <w:sz w:val="24"/>
          <w:szCs w:val="24"/>
          <w:lang w:val="sq-AL"/>
        </w:rPr>
        <w:t xml:space="preserve">Në nenin 6 parashikohen </w:t>
      </w:r>
      <w:r w:rsidR="003B474A" w:rsidRPr="003B474A">
        <w:rPr>
          <w:rFonts w:ascii="Times New Roman" w:eastAsia="Times New Roman" w:hAnsi="Times New Roman" w:cs="Times New Roman"/>
          <w:sz w:val="24"/>
          <w:szCs w:val="24"/>
          <w:lang w:val="sq-AL"/>
        </w:rPr>
        <w:t xml:space="preserve">procedurat e verifikimit të duhur që duhen kryer nga Institucionet Financiare Raportuese për identifikimin e llogarive të raportueshme të përshkruara </w:t>
      </w:r>
      <w:r w:rsidR="003B474A" w:rsidRPr="003B474A">
        <w:rPr>
          <w:rFonts w:ascii="Times New Roman" w:hAnsi="Times New Roman" w:cs="Times New Roman"/>
          <w:sz w:val="24"/>
          <w:szCs w:val="24"/>
          <w:lang w:val="sq-AL"/>
        </w:rPr>
        <w:t xml:space="preserve">në aktet nënligjore të nxjerra në zbatim të këtij ligji, përfshirë edhe mbledhjen e vetëdeklarimeve për Llogaritë </w:t>
      </w:r>
      <w:r w:rsidR="003B474A" w:rsidRPr="003B474A">
        <w:rPr>
          <w:rFonts w:ascii="Times New Roman" w:hAnsi="Times New Roman" w:cs="Times New Roman"/>
          <w:color w:val="000000" w:themeColor="text1"/>
          <w:sz w:val="24"/>
          <w:szCs w:val="24"/>
          <w:lang w:val="sq-AL"/>
        </w:rPr>
        <w:t xml:space="preserve">Financiare të hapura deri më 01.01.2019 e në vijim. </w:t>
      </w:r>
    </w:p>
    <w:p w:rsidR="003B474A" w:rsidRPr="003B474A" w:rsidRDefault="003B474A" w:rsidP="003B474A">
      <w:pPr>
        <w:jc w:val="both"/>
        <w:rPr>
          <w:rFonts w:ascii="Times New Roman" w:hAnsi="Times New Roman" w:cs="Times New Roman"/>
          <w:color w:val="000000" w:themeColor="text1"/>
          <w:sz w:val="24"/>
          <w:szCs w:val="24"/>
          <w:lang w:val="sq-AL"/>
        </w:rPr>
      </w:pPr>
      <w:r w:rsidRPr="003B474A">
        <w:rPr>
          <w:rFonts w:ascii="Times New Roman" w:hAnsi="Times New Roman" w:cs="Times New Roman"/>
          <w:color w:val="000000" w:themeColor="text1"/>
          <w:sz w:val="24"/>
          <w:szCs w:val="24"/>
          <w:lang w:val="sq-AL"/>
        </w:rPr>
        <w:t>Në zbatim të legjislacionit për mbrojtjen e të dhënave personale Institucionet Financiare Raportuese duhet të informojnë Mbajtësit e Llogarive se informacioni lidhur me llogaritë e tyre, nëse llogaritë e tyre janë Llogari të Raportueshme, do të raportohet dhe mund të shkëmbehet me juridiksione të tjera.</w:t>
      </w:r>
    </w:p>
    <w:p w:rsidR="003B474A" w:rsidRPr="003B474A" w:rsidRDefault="00D90E2D"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Në nenin 7 parashikohet</w:t>
      </w:r>
      <w:r w:rsidR="003B474A" w:rsidRPr="003B474A">
        <w:rPr>
          <w:rFonts w:ascii="Times New Roman" w:eastAsia="Times New Roman" w:hAnsi="Times New Roman" w:cs="Times New Roman"/>
          <w:sz w:val="24"/>
          <w:szCs w:val="24"/>
          <w:lang w:val="sq-AL"/>
        </w:rPr>
        <w:t xml:space="preserve"> siguria e të dhënave në momentin e ndarjes së informacionit brenda grupit të njëjtë ose me ofruesit e shërbimeve të palë</w:t>
      </w:r>
      <w:r>
        <w:rPr>
          <w:rFonts w:ascii="Times New Roman" w:eastAsia="Times New Roman" w:hAnsi="Times New Roman" w:cs="Times New Roman"/>
          <w:sz w:val="24"/>
          <w:szCs w:val="24"/>
          <w:lang w:val="sq-AL"/>
        </w:rPr>
        <w:t>ve të treta. Projektligji lejo</w:t>
      </w:r>
      <w:r w:rsidR="003B474A" w:rsidRPr="003B474A">
        <w:rPr>
          <w:rFonts w:ascii="Times New Roman" w:eastAsia="Times New Roman" w:hAnsi="Times New Roman" w:cs="Times New Roman"/>
          <w:sz w:val="24"/>
          <w:szCs w:val="24"/>
          <w:lang w:val="sq-AL"/>
        </w:rPr>
        <w:t>n Institucionet Financiare Raportuese që të përdorin ofrues shërbimesh për të përmbushur detyrimet e raportimit dhe të verifikimit të duhur të vendosura mbi këto Institucione Financiare Raportuese. Në këto raste, Institucionet Financiare Raportuese duhet të mba</w:t>
      </w:r>
      <w:r>
        <w:rPr>
          <w:rFonts w:ascii="Times New Roman" w:eastAsia="Times New Roman" w:hAnsi="Times New Roman" w:cs="Times New Roman"/>
          <w:sz w:val="24"/>
          <w:szCs w:val="24"/>
          <w:lang w:val="sq-AL"/>
        </w:rPr>
        <w:t xml:space="preserve">jnë përgjegjësi për detyrimet e </w:t>
      </w:r>
      <w:r w:rsidR="003B474A" w:rsidRPr="003B474A">
        <w:rPr>
          <w:rFonts w:ascii="Times New Roman" w:eastAsia="Times New Roman" w:hAnsi="Times New Roman" w:cs="Times New Roman"/>
          <w:sz w:val="24"/>
          <w:szCs w:val="24"/>
          <w:lang w:val="sq-AL"/>
        </w:rPr>
        <w:t xml:space="preserve">tyre të raportimit dhe verifikimit të duhur (d.m.th. veprimet e ofruesve të shërbimeve i ngarkohen Institucionit Financiar Raportues), duke përfshirë konfidencialitetin dhe mbrojtjen e të dhënave. </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 xml:space="preserve">Kjo alternativë e lejon Institucionin Financiar Raportues që të përdorë një ofrues shërbimesh i cili është rezident në të njëjtin juridiksion apo në një juridiksion të ndryshëm </w:t>
      </w:r>
      <w:r w:rsidR="0018450C">
        <w:rPr>
          <w:rFonts w:ascii="Times New Roman" w:eastAsia="Times New Roman" w:hAnsi="Times New Roman" w:cs="Times New Roman"/>
          <w:sz w:val="24"/>
          <w:szCs w:val="24"/>
          <w:lang w:val="sq-AL"/>
        </w:rPr>
        <w:t>nga ai i</w:t>
      </w:r>
      <w:r w:rsidRPr="003B474A">
        <w:rPr>
          <w:rFonts w:ascii="Times New Roman" w:eastAsia="Times New Roman" w:hAnsi="Times New Roman" w:cs="Times New Roman"/>
          <w:sz w:val="24"/>
          <w:szCs w:val="24"/>
          <w:lang w:val="sq-AL"/>
        </w:rPr>
        <w:t xml:space="preserve"> Institucioni</w:t>
      </w:r>
      <w:r w:rsidR="0018450C">
        <w:rPr>
          <w:rFonts w:ascii="Times New Roman" w:eastAsia="Times New Roman" w:hAnsi="Times New Roman" w:cs="Times New Roman"/>
          <w:sz w:val="24"/>
          <w:szCs w:val="24"/>
          <w:lang w:val="sq-AL"/>
        </w:rPr>
        <w:t>t</w:t>
      </w:r>
      <w:r w:rsidRPr="003B474A">
        <w:rPr>
          <w:rFonts w:ascii="Times New Roman" w:eastAsia="Times New Roman" w:hAnsi="Times New Roman" w:cs="Times New Roman"/>
          <w:sz w:val="24"/>
          <w:szCs w:val="24"/>
          <w:lang w:val="sq-AL"/>
        </w:rPr>
        <w:t xml:space="preserve"> Financiar Raportues. Gjithashtu, kjo nuk ndryshon kohën dhe mënyrën e detyrimeve të raportimit dhe verifikimit të duhur, të cilat mbeten njësoj sikur të ishin ende duke u përmbushur nga Institucioni Financiar Raportues. Për shembull, ofruesi i shërbimeve duhet ta raportojë informacionin ashtu siç do të kishte bërë Institucioni Financiar Raportues (p.sh. për të njëjtin juridiksion) dhe duhet të identifikojë Institucionin Financiar Raportues për të cilin po përmbush detyrimet e raportimit dhe verifikimit të duhur.</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Në Neni</w:t>
      </w:r>
      <w:r w:rsidR="0018450C">
        <w:rPr>
          <w:rFonts w:ascii="Times New Roman" w:eastAsia="Times New Roman" w:hAnsi="Times New Roman" w:cs="Times New Roman"/>
          <w:sz w:val="24"/>
          <w:szCs w:val="24"/>
          <w:lang w:val="sq-AL"/>
        </w:rPr>
        <w:t>n</w:t>
      </w:r>
      <w:r w:rsidRPr="003B474A">
        <w:rPr>
          <w:rFonts w:ascii="Times New Roman" w:eastAsia="Times New Roman" w:hAnsi="Times New Roman" w:cs="Times New Roman"/>
          <w:sz w:val="24"/>
          <w:szCs w:val="24"/>
          <w:lang w:val="sq-AL"/>
        </w:rPr>
        <w:t xml:space="preserve"> 8 </w:t>
      </w:r>
      <w:r w:rsidR="0018450C">
        <w:rPr>
          <w:rFonts w:ascii="Times New Roman" w:eastAsia="Times New Roman" w:hAnsi="Times New Roman" w:cs="Times New Roman"/>
          <w:sz w:val="24"/>
          <w:szCs w:val="24"/>
          <w:lang w:val="sq-AL"/>
        </w:rPr>
        <w:t>parashikohen</w:t>
      </w:r>
      <w:r w:rsidRPr="003B474A">
        <w:rPr>
          <w:rFonts w:ascii="Times New Roman" w:eastAsia="Times New Roman" w:hAnsi="Times New Roman" w:cs="Times New Roman"/>
          <w:sz w:val="24"/>
          <w:szCs w:val="24"/>
          <w:lang w:val="sq-AL"/>
        </w:rPr>
        <w:t xml:space="preserve"> detyrat dhe Kompetencat e Autoritetit Kompetent për të kërkuar dhe aksesuar informacionin e grumbulluar nga një Institucion Financiar Raportues i Republikës së Shqipërisë në çdo kohë të arsyeshme. </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 xml:space="preserve">Në nenin 9 përcaktohen rregullat të cilat u kërkojnë Institucioneve Financiare Raportuese që të regjistrojnë hapat e ndërmarra dhe çdo evidencë të përdorur për realizimin e procedurave të mësipërme dhe marrjen e masave të përshtatshme për regjistrimin e këtyre të dhënave. Në këtë nen sigurohet mbajtja e të dhënave dhe sigurimi i dokumentacioneve në lidhje me informacionin për procedurat e verifikimit të duhur që kërkohet të zbatohen me këtë ligj, të cilat janë hartuar për të identifikuar Llogaritë Raportuese të mbajtura nga institucione të tilla financiare.  </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Institucioni Financiar Raportues duhet të kujdeset për sa vijon:</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 xml:space="preserve">a. të mbajë regjistrimet që institucioni merr ose krijon me qëllim të përmbushjes së Standardit të Përbashkët të Raportimit dhe këtyre Rregullave dhe Procedurave, duke përfshirë vetë-çertifikimet, hapat e ndërmarrë për identifikimin e Llogarive të Raportueshme dhe të Dëshmive te dokumentuara. Të dhëna të tilla duhet të mbahen ose në formë elektronike ose në letër; </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b. të mbajë ato të dhëna për një periudhë prej të paktën pesë vjet pas përfundimit të periudhës brenda së cilës institucioni duhet të raportojë informacionin e kërkuar për t'u raportuar sipas Standardit të Përbashkët të Raportimit;</w:t>
      </w:r>
    </w:p>
    <w:p w:rsidR="003B474A" w:rsidRPr="003B474A" w:rsidRDefault="003B474A" w:rsidP="003B474A">
      <w:pPr>
        <w:jc w:val="both"/>
        <w:rPr>
          <w:rFonts w:ascii="Times New Roman" w:hAnsi="Times New Roman" w:cs="Times New Roman"/>
          <w:sz w:val="24"/>
          <w:szCs w:val="24"/>
          <w:lang w:val="sq-AL"/>
        </w:rPr>
      </w:pPr>
      <w:r w:rsidRPr="003B474A">
        <w:rPr>
          <w:rFonts w:ascii="Times New Roman" w:hAnsi="Times New Roman" w:cs="Times New Roman"/>
          <w:sz w:val="24"/>
          <w:szCs w:val="24"/>
          <w:lang w:val="sq-AL"/>
        </w:rPr>
        <w:t>c. të marrë masat e nevojshme teknike dhe organizative për të garantuar sigurinë e të dhënave personale që përpunohen në kuadër të këtij ligji;</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Në nenin 10 parashikohet detyrimi i Autoritetit Kompetent për të shkëmbyer informacionin mbi Llogaritë e Raportueshme, në pajtim me dispozitat e Neneve 6 dhe 22 të Konventës për Ndihmën e Ndërsjellë Administrative në çështjet tatimore, dhe në varësi të rregullave të raportimit dhe verifikimit të duhur në përputhje me Standardin të Përbashkët të Raportimit, çdo vit në mënyrë automatike me të tjerë Autoritete Kompetente, në lidhje me të cilat zba</w:t>
      </w:r>
      <w:r w:rsidR="0018450C">
        <w:rPr>
          <w:rFonts w:ascii="Times New Roman" w:eastAsia="Times New Roman" w:hAnsi="Times New Roman" w:cs="Times New Roman"/>
          <w:sz w:val="24"/>
          <w:szCs w:val="24"/>
          <w:lang w:val="sq-AL"/>
        </w:rPr>
        <w:t>tohet Marrëveshja, informacione k</w:t>
      </w:r>
      <w:r w:rsidR="00245577">
        <w:rPr>
          <w:rFonts w:ascii="Times New Roman" w:eastAsia="Times New Roman" w:hAnsi="Times New Roman" w:cs="Times New Roman"/>
          <w:sz w:val="24"/>
          <w:szCs w:val="24"/>
          <w:lang w:val="sq-AL"/>
        </w:rPr>
        <w:t>ë</w:t>
      </w:r>
      <w:r w:rsidR="0018450C">
        <w:rPr>
          <w:rFonts w:ascii="Times New Roman" w:eastAsia="Times New Roman" w:hAnsi="Times New Roman" w:cs="Times New Roman"/>
          <w:sz w:val="24"/>
          <w:szCs w:val="24"/>
          <w:lang w:val="sq-AL"/>
        </w:rPr>
        <w:t>to t</w:t>
      </w:r>
      <w:r w:rsidR="00245577">
        <w:rPr>
          <w:rFonts w:ascii="Times New Roman" w:eastAsia="Times New Roman" w:hAnsi="Times New Roman" w:cs="Times New Roman"/>
          <w:sz w:val="24"/>
          <w:szCs w:val="24"/>
          <w:lang w:val="sq-AL"/>
        </w:rPr>
        <w:t>ë</w:t>
      </w:r>
      <w:r w:rsidRPr="003B474A">
        <w:rPr>
          <w:rFonts w:ascii="Times New Roman" w:eastAsia="Times New Roman" w:hAnsi="Times New Roman" w:cs="Times New Roman"/>
          <w:sz w:val="24"/>
          <w:szCs w:val="24"/>
          <w:lang w:val="sq-AL"/>
        </w:rPr>
        <w:t xml:space="preserve"> marra në bazë të këtyre rregullave dhe të specifikuara në Rregulloren e Zbatimit.</w:t>
      </w:r>
    </w:p>
    <w:p w:rsidR="003B474A" w:rsidRPr="003B474A" w:rsidRDefault="003B474A" w:rsidP="0018450C">
      <w:pPr>
        <w:tabs>
          <w:tab w:val="left" w:pos="284"/>
        </w:tabs>
        <w:spacing w:after="0" w:line="240" w:lineRule="auto"/>
        <w:jc w:val="both"/>
        <w:rPr>
          <w:rFonts w:ascii="Times New Roman" w:eastAsia="Times New Roman" w:hAnsi="Times New Roman" w:cs="Times New Roman"/>
          <w:sz w:val="24"/>
          <w:szCs w:val="24"/>
          <w:lang w:val="sq-AL"/>
        </w:rPr>
      </w:pPr>
    </w:p>
    <w:p w:rsidR="0018450C" w:rsidRDefault="003B474A" w:rsidP="0018450C">
      <w:pPr>
        <w:autoSpaceDE w:val="0"/>
        <w:autoSpaceDN w:val="0"/>
        <w:adjustRightInd w:val="0"/>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b/>
          <w:sz w:val="24"/>
          <w:szCs w:val="24"/>
          <w:lang w:val="sq-AL"/>
        </w:rPr>
        <w:t>Kreu III</w:t>
      </w:r>
      <w:r w:rsidRPr="003B474A">
        <w:rPr>
          <w:rFonts w:ascii="Times New Roman" w:eastAsia="Times New Roman" w:hAnsi="Times New Roman" w:cs="Times New Roman"/>
          <w:sz w:val="24"/>
          <w:szCs w:val="24"/>
          <w:lang w:val="sq-AL"/>
        </w:rPr>
        <w:t xml:space="preserve"> përcakton se cilat janë shkeljet e kryera që konsiderohen kundërvajtje administrative, sanksionet/penalitetet që vendosen dhe procedura e apelimit lidhur me moszbatimin në përputhje me rregullat dhe procedurat e vendosura në këtë projektligj. </w:t>
      </w:r>
    </w:p>
    <w:p w:rsidR="0018450C" w:rsidRDefault="0018450C" w:rsidP="0018450C">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18450C" w:rsidRDefault="0018450C" w:rsidP="0018450C">
      <w:p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Neni 11 p</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rcakton llojet e kund</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rvajtjeve administrative, referuar shkeljeve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kryera n</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kund</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rshtim me parashikimet e k</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tij projektligji.</w:t>
      </w:r>
    </w:p>
    <w:p w:rsidR="0018450C" w:rsidRDefault="0018450C" w:rsidP="0018450C">
      <w:pPr>
        <w:autoSpaceDE w:val="0"/>
        <w:autoSpaceDN w:val="0"/>
        <w:adjustRightInd w:val="0"/>
        <w:spacing w:after="0"/>
        <w:jc w:val="both"/>
        <w:rPr>
          <w:rFonts w:ascii="Times New Roman" w:eastAsia="Times New Roman" w:hAnsi="Times New Roman" w:cs="Times New Roman"/>
          <w:sz w:val="24"/>
          <w:szCs w:val="24"/>
          <w:lang w:val="sq-AL"/>
        </w:rPr>
      </w:pPr>
    </w:p>
    <w:p w:rsidR="0018450C" w:rsidRDefault="0018450C" w:rsidP="0018450C">
      <w:p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Neni 12 parashikon sanksionet e vendosura, referuar kund</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rvajtjeve administrative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nenit 11.</w:t>
      </w:r>
    </w:p>
    <w:p w:rsidR="0018450C" w:rsidRDefault="0018450C" w:rsidP="0018450C">
      <w:pPr>
        <w:autoSpaceDE w:val="0"/>
        <w:autoSpaceDN w:val="0"/>
        <w:adjustRightInd w:val="0"/>
        <w:spacing w:after="0"/>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Neni 13 parashikon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drejt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p</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apelim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subjekteve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tij projektligji, referuar </w:t>
      </w:r>
      <w:r w:rsidRPr="00D65495">
        <w:rPr>
          <w:rFonts w:ascii="Times New Roman" w:hAnsi="Times New Roman" w:cs="Times New Roman"/>
          <w:sz w:val="24"/>
          <w:szCs w:val="24"/>
          <w:lang w:val="sq-AL"/>
        </w:rPr>
        <w:t>të ligjit nr. 9920, datë 19.05.2008, “Për procedurat tatimore në Republ</w:t>
      </w:r>
      <w:r w:rsidR="00B221F2">
        <w:rPr>
          <w:rFonts w:ascii="Times New Roman" w:hAnsi="Times New Roman" w:cs="Times New Roman"/>
          <w:sz w:val="24"/>
          <w:szCs w:val="24"/>
          <w:lang w:val="sq-AL"/>
        </w:rPr>
        <w:t>ikën e Shqipërisë” i ndryshuar.</w:t>
      </w:r>
    </w:p>
    <w:p w:rsidR="00B221F2" w:rsidRPr="003B474A" w:rsidRDefault="00B221F2" w:rsidP="0018450C">
      <w:pPr>
        <w:autoSpaceDE w:val="0"/>
        <w:autoSpaceDN w:val="0"/>
        <w:adjustRightInd w:val="0"/>
        <w:spacing w:after="0"/>
        <w:jc w:val="both"/>
        <w:rPr>
          <w:rFonts w:ascii="Times New Roman" w:eastAsia="Times New Roman" w:hAnsi="Times New Roman" w:cs="Times New Roman"/>
          <w:sz w:val="24"/>
          <w:szCs w:val="24"/>
          <w:lang w:val="sq-AL"/>
        </w:rPr>
      </w:pPr>
    </w:p>
    <w:p w:rsidR="003B474A" w:rsidRPr="003B474A" w:rsidRDefault="003B474A" w:rsidP="0018450C">
      <w:pPr>
        <w:autoSpaceDE w:val="0"/>
        <w:autoSpaceDN w:val="0"/>
        <w:adjustRightInd w:val="0"/>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sz w:val="24"/>
          <w:szCs w:val="24"/>
          <w:lang w:val="sq-AL"/>
        </w:rPr>
        <w:t xml:space="preserve">Neni 14 përcakton rregullat për të parandaluar çdo Institucion Financiar, person ose ndërmjetës që të aprovojë praktika të cilat kanë për synim shmangien e procedurave të raportimit dhe verifikimit të duhur. </w:t>
      </w:r>
    </w:p>
    <w:p w:rsidR="003B474A" w:rsidRPr="003B474A" w:rsidRDefault="003B474A" w:rsidP="003B474A">
      <w:pPr>
        <w:autoSpaceDE w:val="0"/>
        <w:autoSpaceDN w:val="0"/>
        <w:adjustRightInd w:val="0"/>
        <w:spacing w:after="0" w:line="240" w:lineRule="auto"/>
        <w:rPr>
          <w:rFonts w:ascii="Times New Roman" w:eastAsia="Times New Roman" w:hAnsi="Times New Roman" w:cs="Times New Roman"/>
          <w:sz w:val="24"/>
          <w:szCs w:val="24"/>
          <w:lang w:val="sq-AL"/>
        </w:rPr>
      </w:pPr>
    </w:p>
    <w:p w:rsidR="00B221F2"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b/>
          <w:sz w:val="24"/>
          <w:szCs w:val="24"/>
          <w:lang w:val="sq-AL"/>
        </w:rPr>
        <w:t>Kreu IV</w:t>
      </w:r>
      <w:r w:rsidRPr="003B474A">
        <w:rPr>
          <w:rFonts w:ascii="Times New Roman" w:eastAsia="Times New Roman" w:hAnsi="Times New Roman" w:cs="Times New Roman"/>
          <w:sz w:val="24"/>
          <w:szCs w:val="24"/>
          <w:lang w:val="sq-AL"/>
        </w:rPr>
        <w:t xml:space="preserve"> i projektligjit parashikon rregullat për konfidencialitetin dhe sigurimin e të dhënave. </w:t>
      </w:r>
      <w:r w:rsidR="00245577">
        <w:rPr>
          <w:rFonts w:ascii="Times New Roman" w:eastAsia="Times New Roman" w:hAnsi="Times New Roman" w:cs="Times New Roman"/>
          <w:sz w:val="24"/>
          <w:szCs w:val="24"/>
          <w:lang w:val="sq-AL"/>
        </w:rPr>
        <w:t>Ruajtja e konfidencialiteti t</w:t>
      </w:r>
      <w:r w:rsidR="00643B33">
        <w:rPr>
          <w:rFonts w:ascii="Times New Roman" w:eastAsia="Times New Roman" w:hAnsi="Times New Roman" w:cs="Times New Roman"/>
          <w:sz w:val="24"/>
          <w:szCs w:val="24"/>
          <w:lang w:val="sq-AL"/>
        </w:rPr>
        <w:t>ë</w:t>
      </w:r>
      <w:r w:rsidRPr="003B474A">
        <w:rPr>
          <w:rFonts w:ascii="Times New Roman" w:eastAsia="Times New Roman" w:hAnsi="Times New Roman" w:cs="Times New Roman"/>
          <w:sz w:val="24"/>
          <w:szCs w:val="24"/>
          <w:lang w:val="sq-AL"/>
        </w:rPr>
        <w:t xml:space="preserve"> informacionit të tatimpaguesit ka qenë gjithmonë thelbësor</w:t>
      </w:r>
      <w:r w:rsidR="00245577">
        <w:rPr>
          <w:rFonts w:ascii="Times New Roman" w:eastAsia="Times New Roman" w:hAnsi="Times New Roman" w:cs="Times New Roman"/>
          <w:sz w:val="24"/>
          <w:szCs w:val="24"/>
          <w:lang w:val="sq-AL"/>
        </w:rPr>
        <w:t>e n</w:t>
      </w:r>
      <w:r w:rsidR="00643B33">
        <w:rPr>
          <w:rFonts w:ascii="Times New Roman" w:eastAsia="Times New Roman" w:hAnsi="Times New Roman" w:cs="Times New Roman"/>
          <w:sz w:val="24"/>
          <w:szCs w:val="24"/>
          <w:lang w:val="sq-AL"/>
        </w:rPr>
        <w:t>ë</w:t>
      </w:r>
      <w:r w:rsidR="00245577">
        <w:rPr>
          <w:rFonts w:ascii="Times New Roman" w:eastAsia="Times New Roman" w:hAnsi="Times New Roman" w:cs="Times New Roman"/>
          <w:sz w:val="24"/>
          <w:szCs w:val="24"/>
          <w:lang w:val="sq-AL"/>
        </w:rPr>
        <w:t xml:space="preserve"> sistemin tatimor</w:t>
      </w:r>
      <w:r w:rsidRPr="003B474A">
        <w:rPr>
          <w:rFonts w:ascii="Times New Roman" w:eastAsia="Times New Roman" w:hAnsi="Times New Roman" w:cs="Times New Roman"/>
          <w:sz w:val="24"/>
          <w:szCs w:val="24"/>
          <w:lang w:val="sq-AL"/>
        </w:rPr>
        <w:t>. Si tatimpaguesit dhe administratat tatimore kanë të drejtën ligjore të presin që i</w:t>
      </w:r>
      <w:r w:rsidR="00B221F2">
        <w:rPr>
          <w:rFonts w:ascii="Times New Roman" w:eastAsia="Times New Roman" w:hAnsi="Times New Roman" w:cs="Times New Roman"/>
          <w:sz w:val="24"/>
          <w:szCs w:val="24"/>
          <w:lang w:val="sq-AL"/>
        </w:rPr>
        <w:t>nformacioni i shkëmbyer të mbetet</w:t>
      </w:r>
      <w:r w:rsidRPr="003B474A">
        <w:rPr>
          <w:rFonts w:ascii="Times New Roman" w:eastAsia="Times New Roman" w:hAnsi="Times New Roman" w:cs="Times New Roman"/>
          <w:sz w:val="24"/>
          <w:szCs w:val="24"/>
          <w:lang w:val="sq-AL"/>
        </w:rPr>
        <w:t xml:space="preserve"> konfidencial. Me qëllim që të kenë besim në sistemet e tyre tatimore dhe të përmbushin detyrimet e tyre sipas ligjit, tatimpaguesit duhet të dinë se informacioni financiar, shpesh sensitiv, nuk i jepet palëve të tjera në mënyrë të papërshtatshme, as me qëllim dhe as aksidentalisht. </w:t>
      </w:r>
    </w:p>
    <w:p w:rsidR="003B474A" w:rsidRDefault="00B221F2"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Në nenin 15</w:t>
      </w:r>
      <w:r w:rsidR="003B474A" w:rsidRPr="003B474A">
        <w:rPr>
          <w:rFonts w:ascii="Times New Roman" w:eastAsia="Times New Roman" w:hAnsi="Times New Roman" w:cs="Times New Roman"/>
          <w:sz w:val="24"/>
          <w:szCs w:val="24"/>
          <w:lang w:val="sq-AL"/>
        </w:rPr>
        <w:t xml:space="preserve"> përcaktohen masat e duhura mbrojtëse për të garantuar konfidencialitetin e informacionit të marrë, i cili nënkupton që të dhënat ose informacioni nuk i jepet ose i vihet në dispozicion personave të paautorizuar. </w:t>
      </w:r>
    </w:p>
    <w:p w:rsidR="00B221F2" w:rsidRPr="003B474A" w:rsidRDefault="00B221F2"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nenin 16, garantohet siguria e 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dh</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nave personale.</w:t>
      </w:r>
    </w:p>
    <w:p w:rsidR="003B474A" w:rsidRP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3B474A" w:rsidRDefault="003B474A" w:rsidP="003B474A">
      <w:pPr>
        <w:tabs>
          <w:tab w:val="left" w:pos="284"/>
        </w:tabs>
        <w:spacing w:after="0"/>
        <w:jc w:val="both"/>
        <w:rPr>
          <w:rFonts w:ascii="Times New Roman" w:eastAsia="Times New Roman" w:hAnsi="Times New Roman" w:cs="Times New Roman"/>
          <w:sz w:val="24"/>
          <w:szCs w:val="24"/>
          <w:lang w:val="sq-AL"/>
        </w:rPr>
      </w:pPr>
      <w:r w:rsidRPr="003B474A">
        <w:rPr>
          <w:rFonts w:ascii="Times New Roman" w:eastAsia="Times New Roman" w:hAnsi="Times New Roman" w:cs="Times New Roman"/>
          <w:b/>
          <w:sz w:val="24"/>
          <w:szCs w:val="24"/>
          <w:lang w:val="sq-AL"/>
        </w:rPr>
        <w:t>Kreu V</w:t>
      </w:r>
      <w:r w:rsidRPr="003B474A">
        <w:rPr>
          <w:rFonts w:ascii="Times New Roman" w:eastAsia="Times New Roman" w:hAnsi="Times New Roman" w:cs="Times New Roman"/>
          <w:sz w:val="24"/>
          <w:szCs w:val="24"/>
          <w:lang w:val="sq-AL"/>
        </w:rPr>
        <w:t xml:space="preserve"> i projektligjit parashikon dispozita të fundit që kanë të bëjnë me interpretimin dhe zbatimin e dispozitave të këtij ligji.</w:t>
      </w:r>
    </w:p>
    <w:p w:rsidR="00B221F2" w:rsidRPr="00D65495" w:rsidRDefault="00B221F2" w:rsidP="00B221F2">
      <w:pPr>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Neni 17 parashikon se </w:t>
      </w:r>
      <w:r w:rsidRPr="00D65495">
        <w:rPr>
          <w:rFonts w:ascii="Times New Roman" w:hAnsi="Times New Roman" w:cs="Times New Roman"/>
          <w:sz w:val="24"/>
          <w:szCs w:val="24"/>
          <w:lang w:val="sq-AL"/>
        </w:rPr>
        <w:t>Dispozitat e këtij ligji dhe të akteve nënligjore të dala në zbatim të tij,</w:t>
      </w:r>
      <w:r w:rsidRPr="00D65495" w:rsidDel="00E12781">
        <w:rPr>
          <w:rFonts w:ascii="Times New Roman" w:hAnsi="Times New Roman" w:cs="Times New Roman"/>
          <w:sz w:val="24"/>
          <w:szCs w:val="24"/>
          <w:lang w:val="sq-AL"/>
        </w:rPr>
        <w:t xml:space="preserve"> </w:t>
      </w:r>
      <w:r w:rsidRPr="00D65495">
        <w:rPr>
          <w:rFonts w:ascii="Times New Roman" w:hAnsi="Times New Roman" w:cs="Times New Roman"/>
          <w:sz w:val="24"/>
          <w:szCs w:val="24"/>
          <w:lang w:val="sq-AL"/>
        </w:rPr>
        <w:t>interpretohen në përputhje me Komentarin e Standardit të Përbashkët të Raportimit.</w:t>
      </w:r>
    </w:p>
    <w:p w:rsidR="00B221F2" w:rsidRPr="00D65495" w:rsidRDefault="00B221F2" w:rsidP="00B221F2">
      <w:pPr>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Neni 18 parashikon miratimin e </w:t>
      </w:r>
      <w:r>
        <w:rPr>
          <w:rFonts w:ascii="Times New Roman" w:hAnsi="Times New Roman" w:cs="Times New Roman"/>
          <w:sz w:val="24"/>
          <w:szCs w:val="24"/>
          <w:lang w:val="sq-AL"/>
        </w:rPr>
        <w:t>akteve</w:t>
      </w:r>
      <w:r w:rsidRPr="00D65495">
        <w:rPr>
          <w:rFonts w:ascii="Times New Roman" w:hAnsi="Times New Roman" w:cs="Times New Roman"/>
          <w:sz w:val="24"/>
          <w:szCs w:val="24"/>
          <w:lang w:val="sq-AL"/>
        </w:rPr>
        <w:t xml:space="preserve"> nënligjore </w:t>
      </w:r>
      <w:r>
        <w:rPr>
          <w:rFonts w:ascii="Times New Roman" w:hAnsi="Times New Roman" w:cs="Times New Roman"/>
          <w:sz w:val="24"/>
          <w:szCs w:val="24"/>
          <w:lang w:val="sq-AL"/>
        </w:rPr>
        <w:t>me q</w:t>
      </w:r>
      <w:r w:rsidR="00245577">
        <w:rPr>
          <w:rFonts w:ascii="Times New Roman" w:hAnsi="Times New Roman" w:cs="Times New Roman"/>
          <w:sz w:val="24"/>
          <w:szCs w:val="24"/>
          <w:lang w:val="sq-AL"/>
        </w:rPr>
        <w:t>ë</w:t>
      </w:r>
      <w:r>
        <w:rPr>
          <w:rFonts w:ascii="Times New Roman" w:hAnsi="Times New Roman" w:cs="Times New Roman"/>
          <w:sz w:val="24"/>
          <w:szCs w:val="24"/>
          <w:lang w:val="sq-AL"/>
        </w:rPr>
        <w:t>llim</w:t>
      </w:r>
      <w:r w:rsidRPr="00D65495">
        <w:rPr>
          <w:rFonts w:ascii="Times New Roman" w:hAnsi="Times New Roman" w:cs="Times New Roman"/>
          <w:sz w:val="24"/>
          <w:szCs w:val="24"/>
          <w:lang w:val="sq-AL"/>
        </w:rPr>
        <w:t xml:space="preserve"> zbatimi</w:t>
      </w:r>
      <w:r>
        <w:rPr>
          <w:rFonts w:ascii="Times New Roman" w:hAnsi="Times New Roman" w:cs="Times New Roman"/>
          <w:sz w:val="24"/>
          <w:szCs w:val="24"/>
          <w:lang w:val="sq-AL"/>
        </w:rPr>
        <w:t>n</w:t>
      </w:r>
      <w:r w:rsidRPr="00D65495">
        <w:rPr>
          <w:rFonts w:ascii="Times New Roman" w:hAnsi="Times New Roman" w:cs="Times New Roman"/>
          <w:sz w:val="24"/>
          <w:szCs w:val="24"/>
          <w:lang w:val="sq-AL"/>
        </w:rPr>
        <w:t xml:space="preserve"> efektiv të  këtij ligji.</w:t>
      </w:r>
    </w:p>
    <w:p w:rsidR="009F3C6B" w:rsidRDefault="00FF3836" w:rsidP="00E56539">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Neni 19 pars</w:t>
      </w:r>
      <w:r w:rsidR="00754081">
        <w:rPr>
          <w:rFonts w:ascii="Times New Roman" w:eastAsia="Times New Roman" w:hAnsi="Times New Roman" w:cs="Times New Roman"/>
          <w:sz w:val="24"/>
          <w:szCs w:val="24"/>
          <w:lang w:val="sq-AL"/>
        </w:rPr>
        <w:t>hikon se</w:t>
      </w:r>
      <w:r>
        <w:rPr>
          <w:rFonts w:ascii="Times New Roman" w:eastAsia="Times New Roman" w:hAnsi="Times New Roman" w:cs="Times New Roman"/>
          <w:sz w:val="24"/>
          <w:szCs w:val="24"/>
          <w:lang w:val="sq-AL"/>
        </w:rPr>
        <w:t xml:space="preserve"> ligj</w:t>
      </w:r>
      <w:r w:rsidR="00754081">
        <w:rPr>
          <w:rFonts w:ascii="Times New Roman" w:eastAsia="Times New Roman" w:hAnsi="Times New Roman" w:cs="Times New Roman"/>
          <w:sz w:val="24"/>
          <w:szCs w:val="24"/>
          <w:lang w:val="sq-AL"/>
        </w:rPr>
        <w:t>i</w:t>
      </w:r>
      <w:r>
        <w:rPr>
          <w:rFonts w:ascii="Times New Roman" w:eastAsia="Times New Roman" w:hAnsi="Times New Roman" w:cs="Times New Roman"/>
          <w:sz w:val="24"/>
          <w:szCs w:val="24"/>
          <w:lang w:val="sq-AL"/>
        </w:rPr>
        <w:t xml:space="preserve"> hyn n</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fuqi 15 dit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pas</w:t>
      </w:r>
      <w:r w:rsidR="00754081">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botimit n</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fletoren zyrtare</w:t>
      </w:r>
      <w:r w:rsidR="00754081">
        <w:rPr>
          <w:rFonts w:ascii="Times New Roman" w:eastAsia="Times New Roman" w:hAnsi="Times New Roman" w:cs="Times New Roman"/>
          <w:sz w:val="24"/>
          <w:szCs w:val="24"/>
          <w:lang w:val="sq-AL"/>
        </w:rPr>
        <w:t>.</w:t>
      </w:r>
    </w:p>
    <w:p w:rsidR="00FF3836" w:rsidRPr="00E56539" w:rsidRDefault="00FF3836" w:rsidP="00E56539">
      <w:pPr>
        <w:tabs>
          <w:tab w:val="left" w:pos="284"/>
        </w:tabs>
        <w:spacing w:after="0"/>
        <w:jc w:val="both"/>
        <w:rPr>
          <w:rFonts w:ascii="Times New Roman" w:eastAsia="Times New Roman" w:hAnsi="Times New Roman" w:cs="Times New Roman"/>
          <w:b/>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lastRenderedPageBreak/>
        <w:t>INSTITUCIONET DHE ORGANET QË NGARKOHEN PËR ZBATIMIN E AKTIT</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r w:rsidRPr="00E56539">
        <w:rPr>
          <w:rFonts w:ascii="Times New Roman" w:eastAsia="Times New Roman" w:hAnsi="Times New Roman" w:cs="Times New Roman"/>
          <w:sz w:val="24"/>
          <w:szCs w:val="24"/>
          <w:lang w:val="sq-AL"/>
        </w:rPr>
        <w:t>Për zbatimin e këtij ligji ngarkohet Ministria e Financave</w:t>
      </w:r>
      <w:r w:rsidR="00DA31AC" w:rsidRPr="00E56539">
        <w:rPr>
          <w:rFonts w:ascii="Times New Roman" w:eastAsia="Times New Roman" w:hAnsi="Times New Roman" w:cs="Times New Roman"/>
          <w:sz w:val="24"/>
          <w:szCs w:val="24"/>
          <w:lang w:val="sq-AL"/>
        </w:rPr>
        <w:t xml:space="preserve"> dhe Ekonomis</w:t>
      </w:r>
      <w:r w:rsidR="00672284" w:rsidRPr="00E56539">
        <w:rPr>
          <w:rFonts w:ascii="Times New Roman" w:eastAsia="Times New Roman" w:hAnsi="Times New Roman" w:cs="Times New Roman"/>
          <w:sz w:val="24"/>
          <w:szCs w:val="24"/>
          <w:lang w:val="sq-AL"/>
        </w:rPr>
        <w:t>ë</w:t>
      </w:r>
      <w:r w:rsidR="00423F62">
        <w:rPr>
          <w:rFonts w:ascii="Times New Roman" w:eastAsia="Times New Roman" w:hAnsi="Times New Roman" w:cs="Times New Roman"/>
          <w:sz w:val="24"/>
          <w:szCs w:val="24"/>
          <w:lang w:val="sq-AL"/>
        </w:rPr>
        <w:t xml:space="preserve"> dhe</w:t>
      </w:r>
      <w:r w:rsidRPr="00E56539">
        <w:rPr>
          <w:rFonts w:ascii="Times New Roman" w:eastAsia="Times New Roman" w:hAnsi="Times New Roman" w:cs="Times New Roman"/>
          <w:sz w:val="24"/>
          <w:szCs w:val="24"/>
          <w:lang w:val="sq-AL"/>
        </w:rPr>
        <w:t xml:space="preserve"> Drejtori</w:t>
      </w:r>
      <w:r w:rsidR="00423F62">
        <w:rPr>
          <w:rFonts w:ascii="Times New Roman" w:eastAsia="Times New Roman" w:hAnsi="Times New Roman" w:cs="Times New Roman"/>
          <w:sz w:val="24"/>
          <w:szCs w:val="24"/>
          <w:lang w:val="sq-AL"/>
        </w:rPr>
        <w:t>a e Përgjithshme e Tatimeve</w:t>
      </w:r>
      <w:r w:rsidR="00763C5D" w:rsidRPr="00E56539">
        <w:rPr>
          <w:rFonts w:ascii="Times New Roman" w:eastAsia="Times New Roman" w:hAnsi="Times New Roman" w:cs="Times New Roman"/>
          <w:sz w:val="24"/>
          <w:szCs w:val="24"/>
          <w:lang w:val="sq-AL"/>
        </w:rPr>
        <w:t>.</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Calibri" w:hAnsi="Times New Roman" w:cs="Times New Roman"/>
          <w:b/>
          <w:sz w:val="24"/>
          <w:szCs w:val="24"/>
          <w:lang w:val="sq-AL"/>
        </w:rPr>
      </w:pPr>
      <w:r w:rsidRPr="00E56539">
        <w:rPr>
          <w:rFonts w:ascii="Times New Roman" w:eastAsia="Times New Roman" w:hAnsi="Times New Roman" w:cs="Times New Roman"/>
          <w:b/>
          <w:sz w:val="24"/>
          <w:szCs w:val="24"/>
          <w:lang w:val="sq-AL"/>
        </w:rPr>
        <w:t>PERSONAT DHE INSTITUCIONET QË KANË KONTRIBUAR NË HARTIMIN E PROJEKTAKTIT</w:t>
      </w: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3B474A" w:rsidRPr="00340007" w:rsidRDefault="00754081" w:rsidP="003B474A">
      <w:pPr>
        <w:tabs>
          <w:tab w:val="left" w:pos="284"/>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Ky projektligj </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sht</w:t>
      </w:r>
      <w:r w:rsidR="00245577">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hartuar </w:t>
      </w:r>
      <w:r w:rsidR="003B474A" w:rsidRPr="00B066DF">
        <w:rPr>
          <w:rFonts w:ascii="Times New Roman" w:eastAsia="Times New Roman" w:hAnsi="Times New Roman" w:cs="Times New Roman"/>
          <w:sz w:val="24"/>
          <w:szCs w:val="24"/>
          <w:lang w:val="sq-AL"/>
        </w:rPr>
        <w:t>me asistenc</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n e ekspert</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ve nga administrata tatimore italiane (Agenzia delle Entrate), n</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 xml:space="preserve"> kuad</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r t</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 xml:space="preserve"> projektit p</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r Shk</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mbimin Automatik t</w:t>
      </w:r>
      <w:r w:rsidR="003B474A">
        <w:rPr>
          <w:rFonts w:ascii="Times New Roman" w:eastAsia="Times New Roman" w:hAnsi="Times New Roman" w:cs="Times New Roman"/>
          <w:sz w:val="24"/>
          <w:szCs w:val="24"/>
          <w:lang w:val="sq-AL"/>
        </w:rPr>
        <w:t>ë</w:t>
      </w:r>
      <w:r w:rsidR="003B474A" w:rsidRPr="00B066DF">
        <w:rPr>
          <w:rFonts w:ascii="Times New Roman" w:eastAsia="Times New Roman" w:hAnsi="Times New Roman" w:cs="Times New Roman"/>
          <w:sz w:val="24"/>
          <w:szCs w:val="24"/>
          <w:lang w:val="sq-AL"/>
        </w:rPr>
        <w:t xml:space="preserve"> Informacionit,  financuar nga Agjensia Italiane p</w:t>
      </w:r>
      <w:r w:rsidR="003B474A">
        <w:rPr>
          <w:rFonts w:ascii="Times New Roman" w:eastAsia="Times New Roman" w:hAnsi="Times New Roman" w:cs="Times New Roman"/>
          <w:sz w:val="24"/>
          <w:szCs w:val="24"/>
          <w:lang w:val="sq-AL"/>
        </w:rPr>
        <w:t>ë</w:t>
      </w:r>
      <w:r w:rsidR="00245577">
        <w:rPr>
          <w:rFonts w:ascii="Times New Roman" w:eastAsia="Times New Roman" w:hAnsi="Times New Roman" w:cs="Times New Roman"/>
          <w:sz w:val="24"/>
          <w:szCs w:val="24"/>
          <w:lang w:val="sq-AL"/>
        </w:rPr>
        <w:t>r zhvillim dhe b</w:t>
      </w:r>
      <w:r w:rsidR="003B474A" w:rsidRPr="00B066DF">
        <w:rPr>
          <w:rFonts w:ascii="Times New Roman" w:eastAsia="Times New Roman" w:hAnsi="Times New Roman" w:cs="Times New Roman"/>
          <w:sz w:val="24"/>
          <w:szCs w:val="24"/>
          <w:lang w:val="sq-AL"/>
        </w:rPr>
        <w:t>ashk</w:t>
      </w:r>
      <w:r w:rsidR="003B474A">
        <w:rPr>
          <w:rFonts w:ascii="Times New Roman" w:eastAsia="Times New Roman" w:hAnsi="Times New Roman" w:cs="Times New Roman"/>
          <w:sz w:val="24"/>
          <w:szCs w:val="24"/>
          <w:lang w:val="sq-AL"/>
        </w:rPr>
        <w:t>ëpunim, si dhe asistencë</w:t>
      </w:r>
      <w:r w:rsidR="003B474A" w:rsidRPr="00B066DF">
        <w:rPr>
          <w:rFonts w:ascii="Times New Roman" w:eastAsia="Times New Roman" w:hAnsi="Times New Roman" w:cs="Times New Roman"/>
          <w:sz w:val="24"/>
          <w:szCs w:val="24"/>
          <w:lang w:val="sq-AL"/>
        </w:rPr>
        <w:t>n e ekspertit nga OECD.</w:t>
      </w:r>
    </w:p>
    <w:p w:rsidR="003B474A" w:rsidRDefault="003B474A" w:rsidP="003B474A">
      <w:pPr>
        <w:tabs>
          <w:tab w:val="left" w:pos="284"/>
        </w:tabs>
        <w:spacing w:after="0"/>
        <w:jc w:val="both"/>
        <w:rPr>
          <w:rFonts w:ascii="Times New Roman" w:eastAsia="Times New Roman" w:hAnsi="Times New Roman" w:cs="Times New Roman"/>
          <w:sz w:val="24"/>
          <w:szCs w:val="24"/>
          <w:lang w:val="sq-AL"/>
        </w:rPr>
      </w:pPr>
    </w:p>
    <w:p w:rsidR="00245577" w:rsidRPr="00245577" w:rsidRDefault="00245577" w:rsidP="00245577">
      <w:pPr>
        <w:spacing w:after="120"/>
        <w:jc w:val="both"/>
        <w:rPr>
          <w:rFonts w:ascii="Times New Roman" w:hAnsi="Times New Roman" w:cs="Times New Roman"/>
          <w:sz w:val="24"/>
          <w:szCs w:val="24"/>
          <w:lang w:val="sq-AL"/>
        </w:rPr>
      </w:pPr>
      <w:r w:rsidRPr="00245577">
        <w:rPr>
          <w:rFonts w:ascii="Times New Roman" w:hAnsi="Times New Roman" w:cs="Times New Roman"/>
          <w:sz w:val="24"/>
          <w:szCs w:val="24"/>
          <w:lang w:val="sq-AL"/>
        </w:rPr>
        <w:t xml:space="preserve">Projektligji ju dërgua për mendim Ministrisë së </w:t>
      </w:r>
      <w:r w:rsidR="0043233A">
        <w:rPr>
          <w:rFonts w:ascii="Times New Roman" w:hAnsi="Times New Roman" w:cs="Times New Roman"/>
          <w:sz w:val="24"/>
          <w:szCs w:val="24"/>
          <w:lang w:val="sq-AL"/>
        </w:rPr>
        <w:t>Drejtësisë, Ministris</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 xml:space="preserve"> p</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r Evrop</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n dhe Pun</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t e Jashtme,</w:t>
      </w:r>
      <w:r w:rsidRPr="00245577">
        <w:rPr>
          <w:rFonts w:ascii="Times New Roman" w:hAnsi="Times New Roman" w:cs="Times New Roman"/>
          <w:sz w:val="24"/>
          <w:szCs w:val="24"/>
          <w:lang w:val="sq-AL"/>
        </w:rPr>
        <w:t xml:space="preserve"> Ministrit të Shtetit për Mbrojtjen e Sipërmarrjes</w:t>
      </w:r>
      <w:r w:rsidR="0043233A">
        <w:rPr>
          <w:rFonts w:ascii="Times New Roman" w:hAnsi="Times New Roman" w:cs="Times New Roman"/>
          <w:sz w:val="24"/>
          <w:szCs w:val="24"/>
          <w:lang w:val="sq-AL"/>
        </w:rPr>
        <w:t>, dhe Ministrit t</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 xml:space="preserve"> Shtetit p</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r Marr</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dh</w:t>
      </w:r>
      <w:r w:rsidR="00643B33">
        <w:rPr>
          <w:rFonts w:ascii="Times New Roman" w:hAnsi="Times New Roman" w:cs="Times New Roman"/>
          <w:sz w:val="24"/>
          <w:szCs w:val="24"/>
          <w:lang w:val="sq-AL"/>
        </w:rPr>
        <w:t>ë</w:t>
      </w:r>
      <w:r w:rsidR="0043233A">
        <w:rPr>
          <w:rFonts w:ascii="Times New Roman" w:hAnsi="Times New Roman" w:cs="Times New Roman"/>
          <w:sz w:val="24"/>
          <w:szCs w:val="24"/>
          <w:lang w:val="sq-AL"/>
        </w:rPr>
        <w:t>niet me Parlamentin</w:t>
      </w:r>
      <w:r w:rsidRPr="00245577">
        <w:rPr>
          <w:rFonts w:ascii="Times New Roman" w:hAnsi="Times New Roman" w:cs="Times New Roman"/>
          <w:sz w:val="24"/>
          <w:szCs w:val="24"/>
          <w:lang w:val="sq-AL"/>
        </w:rPr>
        <w:t>.</w:t>
      </w:r>
    </w:p>
    <w:p w:rsidR="003B474A" w:rsidRPr="00340007" w:rsidRDefault="003B474A" w:rsidP="003B474A">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tabs>
          <w:tab w:val="left" w:pos="284"/>
        </w:tabs>
        <w:spacing w:after="0"/>
        <w:jc w:val="both"/>
        <w:rPr>
          <w:rFonts w:ascii="Times New Roman" w:eastAsia="Times New Roman" w:hAnsi="Times New Roman" w:cs="Times New Roman"/>
          <w:sz w:val="24"/>
          <w:szCs w:val="24"/>
          <w:lang w:val="sq-AL"/>
        </w:rPr>
      </w:pPr>
    </w:p>
    <w:p w:rsidR="009F3C6B" w:rsidRPr="00E56539" w:rsidRDefault="009F3C6B" w:rsidP="00E56539">
      <w:pPr>
        <w:numPr>
          <w:ilvl w:val="0"/>
          <w:numId w:val="1"/>
        </w:numPr>
        <w:tabs>
          <w:tab w:val="left" w:pos="284"/>
        </w:tabs>
        <w:spacing w:after="0"/>
        <w:contextualSpacing/>
        <w:jc w:val="both"/>
        <w:rPr>
          <w:rFonts w:ascii="Times New Roman" w:eastAsia="Times New Roman" w:hAnsi="Times New Roman" w:cs="Times New Roman"/>
          <w:b/>
          <w:sz w:val="24"/>
          <w:szCs w:val="24"/>
          <w:lang w:val="sq-AL"/>
        </w:rPr>
      </w:pPr>
      <w:r w:rsidRPr="00E56539">
        <w:rPr>
          <w:rFonts w:ascii="Times New Roman" w:eastAsia="Times New Roman" w:hAnsi="Times New Roman" w:cs="Times New Roman"/>
          <w:b/>
          <w:sz w:val="24"/>
          <w:szCs w:val="24"/>
          <w:lang w:val="sq-AL"/>
        </w:rPr>
        <w:t>RAPORTI I VLERËSIMIT TË TË ARDHURAVE DHE SHPENZIMEVE BUXHETORE</w:t>
      </w:r>
    </w:p>
    <w:p w:rsidR="00426C35" w:rsidRPr="00E56539" w:rsidRDefault="00426C35" w:rsidP="00E56539">
      <w:pPr>
        <w:spacing w:after="160"/>
        <w:rPr>
          <w:rFonts w:ascii="Times New Roman" w:eastAsia="Calibri" w:hAnsi="Times New Roman" w:cs="Times New Roman"/>
          <w:sz w:val="24"/>
          <w:szCs w:val="24"/>
          <w:lang w:val="sq-AL"/>
        </w:rPr>
      </w:pPr>
    </w:p>
    <w:p w:rsidR="00A9440F" w:rsidRDefault="007566FD" w:rsidP="009F3C6B">
      <w:pPr>
        <w:spacing w:after="160" w:line="256" w:lineRule="auto"/>
        <w:rPr>
          <w:rFonts w:ascii="Times New Roman" w:eastAsia="Calibri" w:hAnsi="Times New Roman" w:cs="Times New Roman"/>
          <w:sz w:val="24"/>
          <w:szCs w:val="24"/>
          <w:lang w:val="sq-AL"/>
        </w:rPr>
      </w:pPr>
      <w:r w:rsidRPr="007566FD">
        <w:rPr>
          <w:rFonts w:ascii="Times New Roman" w:eastAsia="Calibri" w:hAnsi="Times New Roman" w:cs="Times New Roman"/>
          <w:sz w:val="24"/>
          <w:szCs w:val="24"/>
          <w:lang w:val="sq-AL"/>
        </w:rPr>
        <w:t>Ky projektligj pritet t</w:t>
      </w:r>
      <w:r>
        <w:rPr>
          <w:rFonts w:ascii="Times New Roman" w:eastAsia="Calibri" w:hAnsi="Times New Roman" w:cs="Times New Roman"/>
          <w:sz w:val="24"/>
          <w:szCs w:val="24"/>
          <w:lang w:val="sq-AL"/>
        </w:rPr>
        <w:t>ë</w:t>
      </w:r>
      <w:r w:rsidRPr="007566FD">
        <w:rPr>
          <w:rFonts w:ascii="Times New Roman" w:eastAsia="Calibri" w:hAnsi="Times New Roman" w:cs="Times New Roman"/>
          <w:sz w:val="24"/>
          <w:szCs w:val="24"/>
          <w:lang w:val="sq-AL"/>
        </w:rPr>
        <w:t xml:space="preserve"> sjell</w:t>
      </w:r>
      <w:r>
        <w:rPr>
          <w:rFonts w:ascii="Times New Roman" w:eastAsia="Calibri" w:hAnsi="Times New Roman" w:cs="Times New Roman"/>
          <w:sz w:val="24"/>
          <w:szCs w:val="24"/>
          <w:lang w:val="sq-AL"/>
        </w:rPr>
        <w:t>ë</w:t>
      </w:r>
      <w:r w:rsidRPr="007566FD">
        <w:rPr>
          <w:rFonts w:ascii="Times New Roman" w:eastAsia="Calibri" w:hAnsi="Times New Roman" w:cs="Times New Roman"/>
          <w:sz w:val="24"/>
          <w:szCs w:val="24"/>
          <w:lang w:val="sq-AL"/>
        </w:rPr>
        <w:t xml:space="preserve"> nj</w:t>
      </w:r>
      <w:r>
        <w:rPr>
          <w:rFonts w:ascii="Times New Roman" w:eastAsia="Calibri" w:hAnsi="Times New Roman" w:cs="Times New Roman"/>
          <w:sz w:val="24"/>
          <w:szCs w:val="24"/>
          <w:lang w:val="sq-AL"/>
        </w:rPr>
        <w:t>ë</w:t>
      </w:r>
      <w:r w:rsidRPr="007566FD">
        <w:rPr>
          <w:rFonts w:ascii="Times New Roman" w:eastAsia="Calibri" w:hAnsi="Times New Roman" w:cs="Times New Roman"/>
          <w:sz w:val="24"/>
          <w:szCs w:val="24"/>
          <w:lang w:val="sq-AL"/>
        </w:rPr>
        <w:t xml:space="preserve"> efekt </w:t>
      </w:r>
      <w:r w:rsidR="00415B69">
        <w:rPr>
          <w:rFonts w:ascii="Times New Roman" w:eastAsia="Calibri" w:hAnsi="Times New Roman" w:cs="Times New Roman"/>
          <w:sz w:val="24"/>
          <w:szCs w:val="24"/>
          <w:lang w:val="sq-AL"/>
        </w:rPr>
        <w:t xml:space="preserve">ne buxhetin e shtetit pasi per zbatimin e tij eshte e domosdoshme implementimi i nje sistemi te ri teknologjik i cili ka </w:t>
      </w:r>
      <w:r w:rsidR="00415B69" w:rsidRPr="00472AE1">
        <w:rPr>
          <w:rFonts w:ascii="Times New Roman" w:eastAsia="Calibri" w:hAnsi="Times New Roman" w:cs="Times New Roman"/>
          <w:sz w:val="24"/>
          <w:szCs w:val="24"/>
          <w:lang w:val="sq-AL"/>
        </w:rPr>
        <w:t>nje kosto te caktuar</w:t>
      </w:r>
      <w:r w:rsidR="00415B69">
        <w:rPr>
          <w:rFonts w:ascii="Times New Roman" w:eastAsia="Calibri" w:hAnsi="Times New Roman" w:cs="Times New Roman"/>
          <w:sz w:val="24"/>
          <w:szCs w:val="24"/>
          <w:lang w:val="sq-AL"/>
        </w:rPr>
        <w:t xml:space="preserve">. </w:t>
      </w:r>
    </w:p>
    <w:p w:rsidR="009F3C6B" w:rsidRPr="00426C35" w:rsidRDefault="009F3C6B" w:rsidP="009F3C6B">
      <w:pPr>
        <w:spacing w:after="160" w:line="259" w:lineRule="auto"/>
        <w:jc w:val="both"/>
        <w:rPr>
          <w:rFonts w:ascii="Times New Roman" w:eastAsia="Times New Roman" w:hAnsi="Times New Roman" w:cs="Times New Roman"/>
          <w:color w:val="1F497D"/>
          <w:sz w:val="24"/>
          <w:szCs w:val="24"/>
          <w:lang w:val="sq-AL"/>
        </w:rPr>
      </w:pPr>
    </w:p>
    <w:p w:rsidR="009F3C6B" w:rsidRPr="00426C35" w:rsidRDefault="009F3C6B" w:rsidP="009F3C6B">
      <w:pPr>
        <w:spacing w:after="160" w:line="240" w:lineRule="auto"/>
        <w:contextualSpacing/>
        <w:jc w:val="both"/>
        <w:rPr>
          <w:rFonts w:ascii="Times New Roman" w:eastAsia="Times New Roman" w:hAnsi="Times New Roman" w:cs="Times New Roman"/>
          <w:spacing w:val="2"/>
          <w:sz w:val="24"/>
          <w:szCs w:val="24"/>
          <w:lang w:val="sq-AL"/>
        </w:rPr>
      </w:pPr>
    </w:p>
    <w:p w:rsidR="009F3C6B" w:rsidRPr="00426C35" w:rsidRDefault="009F3C6B" w:rsidP="00415B69">
      <w:pPr>
        <w:spacing w:after="0" w:line="240" w:lineRule="auto"/>
        <w:ind w:left="7200"/>
        <w:contextualSpacing/>
        <w:jc w:val="center"/>
        <w:rPr>
          <w:rFonts w:ascii="Times New Roman" w:eastAsia="Times New Roman" w:hAnsi="Times New Roman" w:cs="Times New Roman"/>
          <w:sz w:val="24"/>
          <w:szCs w:val="24"/>
          <w:lang w:val="sq-AL"/>
        </w:rPr>
      </w:pPr>
    </w:p>
    <w:p w:rsidR="00415B69" w:rsidRPr="00472AE1" w:rsidRDefault="00AB2B32" w:rsidP="00415B69">
      <w:pPr>
        <w:tabs>
          <w:tab w:val="left" w:pos="6555"/>
        </w:tabs>
        <w:spacing w:after="0" w:line="259" w:lineRule="auto"/>
        <w:ind w:left="7200"/>
        <w:jc w:val="center"/>
        <w:rPr>
          <w:rFonts w:ascii="Times New Roman" w:eastAsia="Times New Roman" w:hAnsi="Times New Roman" w:cs="Times New Roman"/>
          <w:b/>
          <w:sz w:val="24"/>
          <w:szCs w:val="24"/>
          <w:lang w:val="sq-AL"/>
        </w:rPr>
      </w:pPr>
      <w:r w:rsidRPr="00472AE1">
        <w:rPr>
          <w:rFonts w:ascii="Times New Roman" w:eastAsia="Times New Roman" w:hAnsi="Times New Roman" w:cs="Times New Roman"/>
          <w:b/>
          <w:sz w:val="24"/>
          <w:szCs w:val="24"/>
          <w:lang w:val="sq-AL"/>
        </w:rPr>
        <w:t>MINIST</w:t>
      </w:r>
      <w:r w:rsidR="00426C35" w:rsidRPr="00472AE1">
        <w:rPr>
          <w:rFonts w:ascii="Times New Roman" w:eastAsia="Times New Roman" w:hAnsi="Times New Roman" w:cs="Times New Roman"/>
          <w:b/>
          <w:sz w:val="24"/>
          <w:szCs w:val="24"/>
          <w:lang w:val="sq-AL"/>
        </w:rPr>
        <w:t>Ë</w:t>
      </w:r>
      <w:r w:rsidRPr="00472AE1">
        <w:rPr>
          <w:rFonts w:ascii="Times New Roman" w:eastAsia="Times New Roman" w:hAnsi="Times New Roman" w:cs="Times New Roman"/>
          <w:b/>
          <w:sz w:val="24"/>
          <w:szCs w:val="24"/>
          <w:lang w:val="sq-AL"/>
        </w:rPr>
        <w:t>R</w:t>
      </w:r>
    </w:p>
    <w:p w:rsidR="00415B69" w:rsidRPr="00472AE1" w:rsidRDefault="00415B69" w:rsidP="00415B69">
      <w:pPr>
        <w:tabs>
          <w:tab w:val="left" w:pos="6555"/>
        </w:tabs>
        <w:spacing w:after="0" w:line="259" w:lineRule="auto"/>
        <w:ind w:left="7200"/>
        <w:jc w:val="center"/>
        <w:rPr>
          <w:rFonts w:ascii="Times New Roman" w:eastAsia="Times New Roman" w:hAnsi="Times New Roman" w:cs="Times New Roman"/>
          <w:b/>
          <w:sz w:val="24"/>
          <w:szCs w:val="24"/>
          <w:lang w:val="sq-AL"/>
        </w:rPr>
      </w:pPr>
    </w:p>
    <w:p w:rsidR="009F3C6B" w:rsidRPr="00426C35" w:rsidRDefault="00472AE1" w:rsidP="00415B69">
      <w:pPr>
        <w:tabs>
          <w:tab w:val="left" w:pos="6555"/>
        </w:tabs>
        <w:spacing w:after="0" w:line="259" w:lineRule="auto"/>
        <w:ind w:left="720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ANILA DENAJ</w:t>
      </w:r>
    </w:p>
    <w:p w:rsidR="009F3C6B" w:rsidRPr="00426C35" w:rsidRDefault="009F3C6B" w:rsidP="00415B69">
      <w:pPr>
        <w:spacing w:after="0" w:line="259" w:lineRule="auto"/>
        <w:ind w:left="720"/>
        <w:jc w:val="center"/>
        <w:rPr>
          <w:rFonts w:ascii="Times New Roman" w:eastAsia="Times New Roman" w:hAnsi="Times New Roman" w:cs="Times New Roman"/>
          <w:b/>
          <w:sz w:val="24"/>
          <w:szCs w:val="24"/>
          <w:lang w:val="sq-AL"/>
        </w:rPr>
      </w:pPr>
    </w:p>
    <w:p w:rsidR="009F3C6B" w:rsidRPr="00426C35" w:rsidRDefault="009F3C6B" w:rsidP="00415B69">
      <w:pPr>
        <w:spacing w:after="0" w:line="259" w:lineRule="auto"/>
        <w:jc w:val="center"/>
        <w:rPr>
          <w:rFonts w:ascii="Times New Roman" w:eastAsia="Times New Roman" w:hAnsi="Times New Roman" w:cs="Times New Roman"/>
          <w:b/>
          <w:sz w:val="24"/>
          <w:szCs w:val="24"/>
          <w:lang w:val="sq-AL"/>
        </w:rPr>
      </w:pPr>
    </w:p>
    <w:p w:rsidR="009F3C6B" w:rsidRPr="00426C35" w:rsidRDefault="009F3C6B" w:rsidP="009F3C6B">
      <w:pPr>
        <w:spacing w:after="0" w:line="259" w:lineRule="auto"/>
        <w:jc w:val="center"/>
        <w:rPr>
          <w:rFonts w:ascii="Times New Roman" w:eastAsia="Times New Roman" w:hAnsi="Times New Roman" w:cs="Times New Roman"/>
          <w:b/>
          <w:sz w:val="24"/>
          <w:szCs w:val="24"/>
          <w:lang w:val="sq-AL"/>
        </w:rPr>
      </w:pPr>
    </w:p>
    <w:p w:rsidR="00C10B0A" w:rsidRDefault="009F3C6B" w:rsidP="009F3C6B">
      <w:pPr>
        <w:spacing w:after="0" w:line="259" w:lineRule="auto"/>
        <w:jc w:val="right"/>
        <w:rPr>
          <w:rFonts w:ascii="Times New Roman" w:eastAsia="Times New Roman" w:hAnsi="Times New Roman" w:cs="Times New Roman"/>
          <w:b/>
          <w:sz w:val="24"/>
          <w:szCs w:val="24"/>
          <w:lang w:val="sq-AL"/>
        </w:rPr>
      </w:pPr>
      <w:r w:rsidRPr="00426C35">
        <w:rPr>
          <w:rFonts w:ascii="Times New Roman" w:eastAsia="Times New Roman" w:hAnsi="Times New Roman" w:cs="Times New Roman"/>
          <w:b/>
          <w:sz w:val="24"/>
          <w:szCs w:val="24"/>
          <w:lang w:val="sq-AL"/>
        </w:rPr>
        <w:tab/>
      </w:r>
      <w:r w:rsidRPr="00426C35">
        <w:rPr>
          <w:rFonts w:ascii="Times New Roman" w:eastAsia="Times New Roman" w:hAnsi="Times New Roman" w:cs="Times New Roman"/>
          <w:b/>
          <w:sz w:val="24"/>
          <w:szCs w:val="24"/>
          <w:lang w:val="sq-AL"/>
        </w:rPr>
        <w:tab/>
      </w:r>
      <w:r w:rsidRPr="00426C35">
        <w:rPr>
          <w:rFonts w:ascii="Times New Roman" w:eastAsia="Times New Roman" w:hAnsi="Times New Roman" w:cs="Times New Roman"/>
          <w:b/>
          <w:sz w:val="24"/>
          <w:szCs w:val="24"/>
          <w:lang w:val="sq-AL"/>
        </w:rPr>
        <w:tab/>
      </w:r>
      <w:r w:rsidRPr="00426C35">
        <w:rPr>
          <w:rFonts w:ascii="Times New Roman" w:eastAsia="Times New Roman" w:hAnsi="Times New Roman" w:cs="Times New Roman"/>
          <w:b/>
          <w:sz w:val="24"/>
          <w:szCs w:val="24"/>
          <w:lang w:val="sq-AL"/>
        </w:rPr>
        <w:tab/>
      </w:r>
    </w:p>
    <w:p w:rsidR="009F3C6B" w:rsidRPr="00426C35" w:rsidRDefault="009F3C6B" w:rsidP="009F3C6B">
      <w:pPr>
        <w:spacing w:after="0" w:line="259" w:lineRule="auto"/>
        <w:jc w:val="right"/>
        <w:rPr>
          <w:rFonts w:ascii="Times New Roman" w:eastAsia="Times New Roman" w:hAnsi="Times New Roman" w:cs="Times New Roman"/>
          <w:b/>
          <w:sz w:val="24"/>
          <w:szCs w:val="24"/>
          <w:lang w:val="sq-AL"/>
        </w:rPr>
      </w:pPr>
      <w:r w:rsidRPr="00426C35">
        <w:rPr>
          <w:rFonts w:ascii="Times New Roman" w:eastAsia="Times New Roman" w:hAnsi="Times New Roman" w:cs="Times New Roman"/>
          <w:b/>
          <w:sz w:val="24"/>
          <w:szCs w:val="24"/>
          <w:lang w:val="sq-AL"/>
        </w:rPr>
        <w:tab/>
      </w:r>
      <w:r w:rsidRPr="00426C35">
        <w:rPr>
          <w:rFonts w:ascii="Times New Roman" w:eastAsia="Times New Roman" w:hAnsi="Times New Roman" w:cs="Times New Roman"/>
          <w:b/>
          <w:sz w:val="24"/>
          <w:szCs w:val="24"/>
          <w:lang w:val="sq-AL"/>
        </w:rPr>
        <w:tab/>
      </w:r>
    </w:p>
    <w:p w:rsidR="009F3C6B" w:rsidRPr="00426C35" w:rsidRDefault="009F3C6B" w:rsidP="009F3C6B">
      <w:pPr>
        <w:spacing w:after="0" w:line="259" w:lineRule="auto"/>
        <w:jc w:val="center"/>
        <w:rPr>
          <w:rFonts w:ascii="Times New Roman" w:eastAsia="Times New Roman" w:hAnsi="Times New Roman" w:cs="Times New Roman"/>
          <w:b/>
          <w:sz w:val="24"/>
          <w:szCs w:val="24"/>
          <w:lang w:val="sq-AL"/>
        </w:rPr>
      </w:pPr>
    </w:p>
    <w:p w:rsidR="009F3C6B" w:rsidRPr="00426C35" w:rsidRDefault="009F3C6B" w:rsidP="009F3C6B">
      <w:pPr>
        <w:spacing w:after="0" w:line="259" w:lineRule="auto"/>
        <w:jc w:val="right"/>
        <w:rPr>
          <w:rFonts w:ascii="Times New Roman" w:eastAsia="Times New Roman" w:hAnsi="Times New Roman" w:cs="Times New Roman"/>
          <w:b/>
          <w:sz w:val="24"/>
          <w:szCs w:val="24"/>
          <w:lang w:val="sq-AL"/>
        </w:rPr>
      </w:pPr>
    </w:p>
    <w:p w:rsidR="009F3C6B" w:rsidRPr="00426C35" w:rsidRDefault="009F3C6B" w:rsidP="009F3C6B">
      <w:pPr>
        <w:spacing w:after="0" w:line="259" w:lineRule="auto"/>
        <w:jc w:val="right"/>
        <w:rPr>
          <w:rFonts w:ascii="Times New Roman" w:eastAsia="Times New Roman" w:hAnsi="Times New Roman" w:cs="Times New Roman"/>
          <w:b/>
          <w:sz w:val="24"/>
          <w:szCs w:val="24"/>
          <w:lang w:val="sq-AL"/>
        </w:rPr>
      </w:pPr>
    </w:p>
    <w:p w:rsidR="009F3C6B" w:rsidRPr="00426C35" w:rsidRDefault="009F3C6B" w:rsidP="009F3C6B">
      <w:pPr>
        <w:spacing w:after="160" w:line="259" w:lineRule="auto"/>
        <w:rPr>
          <w:rFonts w:ascii="Times New Roman" w:eastAsia="Calibri" w:hAnsi="Times New Roman" w:cs="Times New Roman"/>
          <w:sz w:val="24"/>
          <w:szCs w:val="24"/>
          <w:lang w:val="sq-AL"/>
        </w:rPr>
      </w:pPr>
    </w:p>
    <w:p w:rsidR="009F3C6B" w:rsidRPr="00426C35" w:rsidRDefault="009F3C6B" w:rsidP="009F3C6B">
      <w:pPr>
        <w:spacing w:after="160" w:line="259" w:lineRule="auto"/>
        <w:jc w:val="both"/>
        <w:rPr>
          <w:rFonts w:ascii="Times New Roman" w:eastAsia="Times New Roman" w:hAnsi="Times New Roman" w:cs="Times New Roman"/>
          <w:sz w:val="24"/>
          <w:szCs w:val="24"/>
          <w:lang w:val="sq-AL"/>
        </w:rPr>
      </w:pPr>
    </w:p>
    <w:p w:rsidR="009A377B" w:rsidRDefault="009A377B">
      <w:pPr>
        <w:rPr>
          <w:rFonts w:ascii="Times New Roman" w:hAnsi="Times New Roman" w:cs="Times New Roman"/>
          <w:sz w:val="24"/>
          <w:szCs w:val="24"/>
          <w:lang w:val="sq-AL"/>
        </w:rPr>
      </w:pPr>
    </w:p>
    <w:p w:rsidR="00C10B0A" w:rsidRDefault="00C10B0A">
      <w:pPr>
        <w:rPr>
          <w:rFonts w:ascii="Times New Roman" w:hAnsi="Times New Roman" w:cs="Times New Roman"/>
          <w:sz w:val="24"/>
          <w:szCs w:val="24"/>
          <w:lang w:val="sq-AL"/>
        </w:rPr>
      </w:pPr>
    </w:p>
    <w:p w:rsidR="00C10B0A" w:rsidRDefault="00C10B0A">
      <w:pPr>
        <w:rPr>
          <w:rFonts w:ascii="Times New Roman" w:hAnsi="Times New Roman" w:cs="Times New Roman"/>
          <w:sz w:val="24"/>
          <w:szCs w:val="24"/>
          <w:lang w:val="sq-AL"/>
        </w:rPr>
      </w:pPr>
    </w:p>
    <w:p w:rsidR="00C10B0A" w:rsidRDefault="00C10B0A">
      <w:pPr>
        <w:rPr>
          <w:rFonts w:ascii="Times New Roman" w:hAnsi="Times New Roman" w:cs="Times New Roman"/>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9C626B" w:rsidRDefault="009C626B">
      <w:pPr>
        <w:rPr>
          <w:rFonts w:ascii="Times New Roman" w:hAnsi="Times New Roman" w:cs="Times New Roman"/>
          <w:b/>
          <w:sz w:val="24"/>
          <w:szCs w:val="24"/>
          <w:lang w:val="sq-AL"/>
        </w:rPr>
      </w:pPr>
    </w:p>
    <w:p w:rsidR="00C10B0A" w:rsidRPr="00C10B0A" w:rsidRDefault="00C10B0A">
      <w:pPr>
        <w:rPr>
          <w:rFonts w:ascii="Times New Roman" w:hAnsi="Times New Roman" w:cs="Times New Roman"/>
          <w:b/>
          <w:sz w:val="24"/>
          <w:szCs w:val="24"/>
          <w:lang w:val="sq-AL"/>
        </w:rPr>
      </w:pPr>
      <w:r w:rsidRPr="00C10B0A">
        <w:rPr>
          <w:rFonts w:ascii="Times New Roman" w:hAnsi="Times New Roman" w:cs="Times New Roman"/>
          <w:b/>
          <w:sz w:val="24"/>
          <w:szCs w:val="24"/>
          <w:lang w:val="sq-AL"/>
        </w:rPr>
        <w:t>ANEKSI I</w:t>
      </w:r>
    </w:p>
    <w:p w:rsidR="00C10B0A" w:rsidRPr="00C10B0A" w:rsidRDefault="00C10B0A">
      <w:pPr>
        <w:rPr>
          <w:rFonts w:ascii="Times New Roman" w:hAnsi="Times New Roman" w:cs="Times New Roman"/>
          <w:b/>
          <w:sz w:val="24"/>
          <w:szCs w:val="24"/>
          <w:lang w:val="sq-AL"/>
        </w:rPr>
      </w:pPr>
      <w:r w:rsidRPr="00C10B0A">
        <w:rPr>
          <w:rFonts w:ascii="Times New Roman" w:hAnsi="Times New Roman" w:cs="Times New Roman"/>
          <w:b/>
          <w:sz w:val="24"/>
          <w:szCs w:val="24"/>
          <w:lang w:val="sq-AL"/>
        </w:rPr>
        <w:t>Aktet t</w:t>
      </w:r>
      <w:r>
        <w:rPr>
          <w:rFonts w:ascii="Times New Roman" w:hAnsi="Times New Roman" w:cs="Times New Roman"/>
          <w:b/>
          <w:sz w:val="24"/>
          <w:szCs w:val="24"/>
          <w:lang w:val="sq-AL"/>
        </w:rPr>
        <w:t>ë</w:t>
      </w:r>
      <w:r w:rsidRPr="00C10B0A">
        <w:rPr>
          <w:rFonts w:ascii="Times New Roman" w:hAnsi="Times New Roman" w:cs="Times New Roman"/>
          <w:b/>
          <w:sz w:val="24"/>
          <w:szCs w:val="24"/>
          <w:lang w:val="sq-AL"/>
        </w:rPr>
        <w:t xml:space="preserve"> cilat kan</w:t>
      </w:r>
      <w:r>
        <w:rPr>
          <w:rFonts w:ascii="Times New Roman" w:hAnsi="Times New Roman" w:cs="Times New Roman"/>
          <w:b/>
          <w:sz w:val="24"/>
          <w:szCs w:val="24"/>
          <w:lang w:val="sq-AL"/>
        </w:rPr>
        <w:t>ë</w:t>
      </w:r>
      <w:r w:rsidRPr="00C10B0A">
        <w:rPr>
          <w:rFonts w:ascii="Times New Roman" w:hAnsi="Times New Roman" w:cs="Times New Roman"/>
          <w:b/>
          <w:sz w:val="24"/>
          <w:szCs w:val="24"/>
          <w:lang w:val="sq-AL"/>
        </w:rPr>
        <w:t xml:space="preserve"> ndryshuar Direktiv</w:t>
      </w:r>
      <w:r>
        <w:rPr>
          <w:rFonts w:ascii="Times New Roman" w:hAnsi="Times New Roman" w:cs="Times New Roman"/>
          <w:b/>
          <w:sz w:val="24"/>
          <w:szCs w:val="24"/>
          <w:lang w:val="sq-AL"/>
        </w:rPr>
        <w:t>ë</w:t>
      </w:r>
      <w:r w:rsidRPr="00C10B0A">
        <w:rPr>
          <w:rFonts w:ascii="Times New Roman" w:hAnsi="Times New Roman" w:cs="Times New Roman"/>
          <w:b/>
          <w:sz w:val="24"/>
          <w:szCs w:val="24"/>
          <w:lang w:val="sq-AL"/>
        </w:rPr>
        <w:t xml:space="preserve">n nr. </w:t>
      </w:r>
      <w:r w:rsidRPr="00C10B0A">
        <w:rPr>
          <w:rFonts w:ascii="Times New Roman" w:eastAsia="Times New Roman" w:hAnsi="Times New Roman" w:cs="Times New Roman"/>
          <w:b/>
          <w:sz w:val="24"/>
          <w:szCs w:val="24"/>
          <w:lang w:val="sq-AL"/>
        </w:rPr>
        <w:t xml:space="preserve">2011/16/EU </w:t>
      </w:r>
    </w:p>
    <w:tbl>
      <w:tblPr>
        <w:tblW w:w="7750" w:type="dxa"/>
        <w:tblInd w:w="113" w:type="dxa"/>
        <w:tblLook w:val="04A0" w:firstRow="1" w:lastRow="0" w:firstColumn="1" w:lastColumn="0" w:noHBand="0" w:noVBand="1"/>
      </w:tblPr>
      <w:tblGrid>
        <w:gridCol w:w="704"/>
        <w:gridCol w:w="1646"/>
        <w:gridCol w:w="1800"/>
        <w:gridCol w:w="1800"/>
        <w:gridCol w:w="1800"/>
      </w:tblGrid>
      <w:tr w:rsidR="00C10B0A" w:rsidRPr="00C10B0A" w:rsidTr="00834600">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B0A" w:rsidRPr="00C10B0A" w:rsidRDefault="00C10B0A" w:rsidP="00C10B0A">
            <w:pPr>
              <w:spacing w:after="0" w:line="240" w:lineRule="auto"/>
              <w:rPr>
                <w:rFonts w:ascii="Calibri" w:eastAsia="Times New Roman" w:hAnsi="Calibri" w:cs="Times New Roman"/>
                <w:color w:val="000000"/>
                <w:lang w:val="en-US"/>
              </w:rPr>
            </w:pPr>
            <w:r w:rsidRPr="00C10B0A">
              <w:rPr>
                <w:rFonts w:ascii="Calibri" w:eastAsia="Times New Roman" w:hAnsi="Calibri" w:cs="Times New Roman"/>
                <w:color w:val="000000"/>
                <w:lang w:val="en-US"/>
              </w:rPr>
              <w:t>Nr</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C10B0A" w:rsidRPr="00C10B0A" w:rsidRDefault="00C10B0A" w:rsidP="00C10B0A">
            <w:pPr>
              <w:spacing w:after="0" w:line="240" w:lineRule="auto"/>
              <w:rPr>
                <w:rFonts w:ascii="Calibri" w:eastAsia="Times New Roman" w:hAnsi="Calibri" w:cs="Times New Roman"/>
                <w:color w:val="000000"/>
                <w:lang w:val="en-US"/>
              </w:rPr>
            </w:pPr>
            <w:r w:rsidRPr="00C10B0A">
              <w:rPr>
                <w:rFonts w:ascii="Calibri" w:eastAsia="Times New Roman" w:hAnsi="Calibri" w:cs="Times New Roman"/>
                <w:color w:val="000000"/>
                <w:lang w:val="en-US"/>
              </w:rPr>
              <w:t>Nr aktit</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10B0A" w:rsidRPr="00C10B0A" w:rsidRDefault="00C10B0A" w:rsidP="00C10B0A">
            <w:pPr>
              <w:spacing w:after="0" w:line="240" w:lineRule="auto"/>
              <w:rPr>
                <w:rFonts w:ascii="Calibri" w:eastAsia="Times New Roman" w:hAnsi="Calibri" w:cs="Times New Roman"/>
                <w:color w:val="000000"/>
                <w:lang w:val="en-US"/>
              </w:rPr>
            </w:pPr>
            <w:r w:rsidRPr="00C10B0A">
              <w:rPr>
                <w:rFonts w:ascii="Calibri" w:eastAsia="Times New Roman" w:hAnsi="Calibri" w:cs="Times New Roman"/>
                <w:color w:val="000000"/>
                <w:lang w:val="en-US"/>
              </w:rPr>
              <w:t>Komenti</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10B0A" w:rsidRPr="00C10B0A" w:rsidRDefault="00C10B0A" w:rsidP="00C10B0A">
            <w:pPr>
              <w:spacing w:after="0" w:line="240" w:lineRule="auto"/>
              <w:rPr>
                <w:rFonts w:ascii="Calibri" w:eastAsia="Times New Roman" w:hAnsi="Calibri" w:cs="Times New Roman"/>
                <w:color w:val="000000"/>
                <w:lang w:val="en-US"/>
              </w:rPr>
            </w:pPr>
            <w:r w:rsidRPr="00C10B0A">
              <w:rPr>
                <w:rFonts w:ascii="Calibri" w:eastAsia="Times New Roman" w:hAnsi="Calibri" w:cs="Times New Roman"/>
                <w:color w:val="000000"/>
                <w:lang w:val="en-US"/>
              </w:rPr>
              <w:t>Neni I ndryshuar</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10B0A" w:rsidRPr="00C10B0A" w:rsidRDefault="00C10B0A" w:rsidP="00C10B0A">
            <w:pPr>
              <w:spacing w:after="0" w:line="240" w:lineRule="auto"/>
              <w:rPr>
                <w:rFonts w:ascii="Calibri" w:eastAsia="Times New Roman" w:hAnsi="Calibri" w:cs="Times New Roman"/>
                <w:color w:val="000000"/>
                <w:lang w:val="en-US"/>
              </w:rPr>
            </w:pPr>
            <w:r w:rsidRPr="00C10B0A">
              <w:rPr>
                <w:rFonts w:ascii="Calibri" w:eastAsia="Times New Roman" w:hAnsi="Calibri" w:cs="Times New Roman"/>
                <w:color w:val="000000"/>
                <w:lang w:val="en-US"/>
              </w:rPr>
              <w:t>Data</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7"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8.6</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8"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8.3</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9"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20 .4</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0"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25 .4</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1"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21 .2</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2"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Annex I</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3"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8.7 BI</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8</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4"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9</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5"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8.3 BI</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10</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6"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Annex II</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7"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25 .2</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8"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3.9</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19" w:history="1">
              <w:r w:rsidR="00C10B0A" w:rsidRPr="00C10B0A">
                <w:rPr>
                  <w:rFonts w:ascii="Calibri" w:eastAsia="Times New Roman" w:hAnsi="Calibri" w:cs="Times New Roman"/>
                  <w:color w:val="0563C1"/>
                  <w:u w:val="single"/>
                  <w:lang w:val="en-US"/>
                </w:rPr>
                <w:t>32014L0107</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25 .3</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05/01/2015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0"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 paragraph 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1"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15</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lastRenderedPageBreak/>
              <w:t>16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2"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14</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3"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4"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17</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19</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5"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 paragraph 4</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20</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6"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 Paragraph 3</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7"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 Paragraph 6</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8"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8b</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29"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21 Paragraph 3</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0"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20 Paragraph 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1"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 Paragraph 5</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2"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16</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3"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9</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28</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4"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21 Paragraph 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29</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5" w:history="1">
              <w:r w:rsidR="00C10B0A" w:rsidRPr="00C10B0A">
                <w:rPr>
                  <w:rFonts w:ascii="Calibri" w:eastAsia="Times New Roman" w:hAnsi="Calibri" w:cs="Times New Roman"/>
                  <w:color w:val="0563C1"/>
                  <w:u w:val="single"/>
                  <w:lang w:val="en-US"/>
                </w:rPr>
                <w:t>32015L2376</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18/12/2015</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30</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6"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 Paragraph 3</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7"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21 Paragraph 6</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8"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26</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39"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20 Paragraph 6</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0"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9</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1"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16 Paragraph 6</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2"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Completion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Annex III</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3"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25a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78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38</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4" w:history="1">
              <w:r w:rsidR="00C10B0A" w:rsidRPr="00C10B0A">
                <w:rPr>
                  <w:rFonts w:ascii="Calibri" w:eastAsia="Times New Roman" w:hAnsi="Calibri" w:cs="Times New Roman"/>
                  <w:color w:val="0563C1"/>
                  <w:u w:val="single"/>
                  <w:lang w:val="en-US"/>
                </w:rPr>
                <w:t>32016L0881</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Chapter II SECTION II Article 8aa</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03/06/2016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39</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5" w:history="1">
              <w:r w:rsidR="00C10B0A" w:rsidRPr="00C10B0A">
                <w:rPr>
                  <w:rFonts w:ascii="Calibri" w:eastAsia="Times New Roman" w:hAnsi="Calibri" w:cs="Times New Roman"/>
                  <w:color w:val="0563C1"/>
                  <w:u w:val="single"/>
                  <w:lang w:val="en-US"/>
                </w:rPr>
                <w:t>32016L2258</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22 Paragraph 1a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06/12/2016</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40</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6"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23 Paragraph 3</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7"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24</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8"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49"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21</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0"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25a</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lastRenderedPageBreak/>
              <w:t>45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1"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21 Paragraph 5</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2"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8ab</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3"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23</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48</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4"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19</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49</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5"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18</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50</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6"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22</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780"/>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51</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7"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9 L 1 paragraph (a)</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52</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8"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27</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53</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59"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20</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52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54</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60"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20 Paragraph 5</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780"/>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55</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61"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9 L 2 Sentence 1</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56</w:t>
            </w:r>
          </w:p>
        </w:tc>
        <w:tc>
          <w:tcPr>
            <w:tcW w:w="1646" w:type="dxa"/>
            <w:tcBorders>
              <w:top w:val="nil"/>
              <w:left w:val="nil"/>
              <w:bottom w:val="single" w:sz="4" w:space="0" w:color="auto"/>
              <w:right w:val="single" w:sz="4" w:space="0" w:color="auto"/>
            </w:tcBorders>
            <w:shd w:val="clear" w:color="000000" w:fill="FFFFFF"/>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62"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Addition</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Annex IV</w:t>
            </w:r>
          </w:p>
        </w:tc>
        <w:tc>
          <w:tcPr>
            <w:tcW w:w="1800" w:type="dxa"/>
            <w:tcBorders>
              <w:top w:val="nil"/>
              <w:left w:val="nil"/>
              <w:bottom w:val="single" w:sz="4" w:space="0" w:color="auto"/>
              <w:right w:val="single" w:sz="4" w:space="0" w:color="auto"/>
            </w:tcBorders>
            <w:shd w:val="clear" w:color="000000" w:fill="FFFFFF"/>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r w:rsidR="00C10B0A" w:rsidRPr="00C10B0A" w:rsidTr="00834600">
        <w:trPr>
          <w:trHeight w:val="780"/>
        </w:trPr>
        <w:tc>
          <w:tcPr>
            <w:tcW w:w="704" w:type="dxa"/>
            <w:tcBorders>
              <w:top w:val="nil"/>
              <w:left w:val="single" w:sz="4" w:space="0" w:color="auto"/>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57</w:t>
            </w:r>
          </w:p>
        </w:tc>
        <w:tc>
          <w:tcPr>
            <w:tcW w:w="1646" w:type="dxa"/>
            <w:tcBorders>
              <w:top w:val="nil"/>
              <w:left w:val="nil"/>
              <w:bottom w:val="single" w:sz="4" w:space="0" w:color="auto"/>
              <w:right w:val="single" w:sz="4" w:space="0" w:color="auto"/>
            </w:tcBorders>
            <w:shd w:val="clear" w:color="000000" w:fill="F5F5F5"/>
            <w:vAlign w:val="center"/>
            <w:hideMark/>
          </w:tcPr>
          <w:p w:rsidR="00C10B0A" w:rsidRPr="00C10B0A" w:rsidRDefault="00267A47" w:rsidP="00C10B0A">
            <w:pPr>
              <w:spacing w:after="0" w:line="240" w:lineRule="auto"/>
              <w:ind w:firstLineChars="100" w:firstLine="220"/>
              <w:rPr>
                <w:rFonts w:ascii="Calibri" w:eastAsia="Times New Roman" w:hAnsi="Calibri" w:cs="Times New Roman"/>
                <w:color w:val="0563C1"/>
                <w:u w:val="single"/>
                <w:lang w:val="en-US"/>
              </w:rPr>
            </w:pPr>
            <w:hyperlink r:id="rId63" w:history="1">
              <w:r w:rsidR="00C10B0A" w:rsidRPr="00C10B0A">
                <w:rPr>
                  <w:rFonts w:ascii="Calibri" w:eastAsia="Times New Roman" w:hAnsi="Calibri" w:cs="Times New Roman"/>
                  <w:color w:val="0563C1"/>
                  <w:u w:val="single"/>
                  <w:lang w:val="en-US"/>
                </w:rPr>
                <w:t>32018L0822</w:t>
              </w:r>
            </w:hyperlink>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Replacement</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Article 3 paragraph 9 L 1 paragraph (c)</w:t>
            </w:r>
          </w:p>
        </w:tc>
        <w:tc>
          <w:tcPr>
            <w:tcW w:w="1800" w:type="dxa"/>
            <w:tcBorders>
              <w:top w:val="nil"/>
              <w:left w:val="nil"/>
              <w:bottom w:val="single" w:sz="4" w:space="0" w:color="auto"/>
              <w:right w:val="single" w:sz="4" w:space="0" w:color="auto"/>
            </w:tcBorders>
            <w:shd w:val="clear" w:color="000000" w:fill="F5F5F5"/>
            <w:vAlign w:val="center"/>
            <w:hideMark/>
          </w:tcPr>
          <w:p w:rsidR="00C10B0A" w:rsidRPr="00C10B0A" w:rsidRDefault="00C10B0A" w:rsidP="00C10B0A">
            <w:pPr>
              <w:spacing w:after="0" w:line="240" w:lineRule="auto"/>
              <w:ind w:firstLineChars="100" w:firstLine="200"/>
              <w:rPr>
                <w:rFonts w:ascii="inherit" w:eastAsia="Times New Roman" w:hAnsi="inherit" w:cs="Times New Roman"/>
                <w:color w:val="444444"/>
                <w:sz w:val="20"/>
                <w:szCs w:val="20"/>
                <w:lang w:val="en-US"/>
              </w:rPr>
            </w:pPr>
            <w:r w:rsidRPr="00C10B0A">
              <w:rPr>
                <w:rFonts w:ascii="inherit" w:eastAsia="Times New Roman" w:hAnsi="inherit" w:cs="Times New Roman"/>
                <w:color w:val="444444"/>
                <w:sz w:val="20"/>
                <w:szCs w:val="20"/>
                <w:lang w:val="en-US"/>
              </w:rPr>
              <w:t>25/06/2018</w:t>
            </w:r>
          </w:p>
        </w:tc>
      </w:tr>
    </w:tbl>
    <w:p w:rsidR="00C10B0A" w:rsidRDefault="00C10B0A">
      <w:pPr>
        <w:rPr>
          <w:rFonts w:ascii="Times New Roman" w:hAnsi="Times New Roman" w:cs="Times New Roman"/>
          <w:sz w:val="24"/>
          <w:szCs w:val="24"/>
          <w:lang w:val="sq-AL"/>
        </w:rPr>
      </w:pPr>
    </w:p>
    <w:p w:rsidR="00C10B0A" w:rsidRPr="00426C35" w:rsidRDefault="00C10B0A">
      <w:pPr>
        <w:rPr>
          <w:rFonts w:ascii="Times New Roman" w:hAnsi="Times New Roman" w:cs="Times New Roman"/>
          <w:sz w:val="24"/>
          <w:szCs w:val="24"/>
          <w:lang w:val="sq-AL"/>
        </w:rPr>
      </w:pPr>
    </w:p>
    <w:sectPr w:rsidR="00C10B0A" w:rsidRPr="00426C35" w:rsidSect="00426C35">
      <w:footerReference w:type="default" r:id="rId64"/>
      <w:pgSz w:w="12240" w:h="15840"/>
      <w:pgMar w:top="1276"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47" w:rsidRDefault="00267A47">
      <w:pPr>
        <w:spacing w:after="0" w:line="240" w:lineRule="auto"/>
      </w:pPr>
      <w:r>
        <w:separator/>
      </w:r>
    </w:p>
  </w:endnote>
  <w:endnote w:type="continuationSeparator" w:id="0">
    <w:p w:rsidR="00267A47" w:rsidRDefault="0026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50" w:rsidRDefault="00E27C50">
    <w:pPr>
      <w:pStyle w:val="Footer"/>
      <w:jc w:val="right"/>
    </w:pPr>
    <w:r>
      <w:fldChar w:fldCharType="begin"/>
    </w:r>
    <w:r>
      <w:instrText xml:space="preserve"> PAGE   \* MERGEFORMAT </w:instrText>
    </w:r>
    <w:r>
      <w:fldChar w:fldCharType="separate"/>
    </w:r>
    <w:r w:rsidR="005F56A7">
      <w:rPr>
        <w:noProof/>
      </w:rPr>
      <w:t>1</w:t>
    </w:r>
    <w:r>
      <w:rPr>
        <w:noProof/>
      </w:rPr>
      <w:fldChar w:fldCharType="end"/>
    </w:r>
  </w:p>
  <w:p w:rsidR="00E27C50" w:rsidRDefault="00E27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47" w:rsidRDefault="00267A47">
      <w:pPr>
        <w:spacing w:after="0" w:line="240" w:lineRule="auto"/>
      </w:pPr>
      <w:r>
        <w:separator/>
      </w:r>
    </w:p>
  </w:footnote>
  <w:footnote w:type="continuationSeparator" w:id="0">
    <w:p w:rsidR="00267A47" w:rsidRDefault="00267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69CE"/>
    <w:multiLevelType w:val="hybridMultilevel"/>
    <w:tmpl w:val="5E86A1AE"/>
    <w:lvl w:ilvl="0" w:tplc="A016E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F0DC9"/>
    <w:multiLevelType w:val="hybridMultilevel"/>
    <w:tmpl w:val="5568CBF0"/>
    <w:lvl w:ilvl="0" w:tplc="71D44B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E02F24"/>
    <w:multiLevelType w:val="hybridMultilevel"/>
    <w:tmpl w:val="489CF9E4"/>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D9159C"/>
    <w:multiLevelType w:val="hybridMultilevel"/>
    <w:tmpl w:val="CFD60394"/>
    <w:lvl w:ilvl="0" w:tplc="44A8597E">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DE31B17"/>
    <w:multiLevelType w:val="hybridMultilevel"/>
    <w:tmpl w:val="5576F746"/>
    <w:lvl w:ilvl="0" w:tplc="0504D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10F51"/>
    <w:multiLevelType w:val="hybridMultilevel"/>
    <w:tmpl w:val="54FCBA7E"/>
    <w:lvl w:ilvl="0" w:tplc="2F982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E2118"/>
    <w:multiLevelType w:val="hybridMultilevel"/>
    <w:tmpl w:val="B8CAB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51656FF"/>
    <w:multiLevelType w:val="hybridMultilevel"/>
    <w:tmpl w:val="7A46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65E9C"/>
    <w:multiLevelType w:val="hybridMultilevel"/>
    <w:tmpl w:val="82C40F8C"/>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0E4A41"/>
    <w:multiLevelType w:val="hybridMultilevel"/>
    <w:tmpl w:val="F88CCFCC"/>
    <w:lvl w:ilvl="0" w:tplc="CCAA2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A57A9"/>
    <w:multiLevelType w:val="hybridMultilevel"/>
    <w:tmpl w:val="FCCCB8F0"/>
    <w:lvl w:ilvl="0" w:tplc="6890F5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D6D4A"/>
    <w:multiLevelType w:val="hybridMultilevel"/>
    <w:tmpl w:val="D6C869F4"/>
    <w:lvl w:ilvl="0" w:tplc="79040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F1CCB"/>
    <w:multiLevelType w:val="hybridMultilevel"/>
    <w:tmpl w:val="EF3C88CA"/>
    <w:lvl w:ilvl="0" w:tplc="3F0AF15E">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CB90256"/>
    <w:multiLevelType w:val="hybridMultilevel"/>
    <w:tmpl w:val="AEA69652"/>
    <w:lvl w:ilvl="0" w:tplc="6122C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15181"/>
    <w:multiLevelType w:val="hybridMultilevel"/>
    <w:tmpl w:val="3BF240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AC6673"/>
    <w:multiLevelType w:val="hybridMultilevel"/>
    <w:tmpl w:val="AC70FA08"/>
    <w:lvl w:ilvl="0" w:tplc="5DD87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81720"/>
    <w:multiLevelType w:val="hybridMultilevel"/>
    <w:tmpl w:val="C0E498CA"/>
    <w:lvl w:ilvl="0" w:tplc="2520B1E6">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D3E0E22"/>
    <w:multiLevelType w:val="hybridMultilevel"/>
    <w:tmpl w:val="3FE47804"/>
    <w:lvl w:ilvl="0" w:tplc="265C0E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3"/>
  </w:num>
  <w:num w:numId="5">
    <w:abstractNumId w:val="17"/>
  </w:num>
  <w:num w:numId="6">
    <w:abstractNumId w:val="1"/>
  </w:num>
  <w:num w:numId="7">
    <w:abstractNumId w:val="3"/>
  </w:num>
  <w:num w:numId="8">
    <w:abstractNumId w:val="10"/>
  </w:num>
  <w:num w:numId="9">
    <w:abstractNumId w:val="14"/>
  </w:num>
  <w:num w:numId="10">
    <w:abstractNumId w:val="7"/>
  </w:num>
  <w:num w:numId="11">
    <w:abstractNumId w:val="6"/>
  </w:num>
  <w:num w:numId="12">
    <w:abstractNumId w:val="2"/>
  </w:num>
  <w:num w:numId="13">
    <w:abstractNumId w:val="8"/>
  </w:num>
  <w:num w:numId="14">
    <w:abstractNumId w:val="9"/>
  </w:num>
  <w:num w:numId="15">
    <w:abstractNumId w:val="11"/>
  </w:num>
  <w:num w:numId="16">
    <w:abstractNumId w:val="0"/>
  </w:num>
  <w:num w:numId="17">
    <w:abstractNumId w:val="15"/>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6B"/>
    <w:rsid w:val="00005938"/>
    <w:rsid w:val="00015173"/>
    <w:rsid w:val="0002334F"/>
    <w:rsid w:val="00033E76"/>
    <w:rsid w:val="00037928"/>
    <w:rsid w:val="00054401"/>
    <w:rsid w:val="00060253"/>
    <w:rsid w:val="00064FC4"/>
    <w:rsid w:val="00084E01"/>
    <w:rsid w:val="0009615E"/>
    <w:rsid w:val="000A099B"/>
    <w:rsid w:val="000A1AA2"/>
    <w:rsid w:val="000F2EF7"/>
    <w:rsid w:val="00106223"/>
    <w:rsid w:val="0018450C"/>
    <w:rsid w:val="00190394"/>
    <w:rsid w:val="001C45AE"/>
    <w:rsid w:val="001C7E67"/>
    <w:rsid w:val="00200639"/>
    <w:rsid w:val="00213BE9"/>
    <w:rsid w:val="00245577"/>
    <w:rsid w:val="00254C5C"/>
    <w:rsid w:val="00267A47"/>
    <w:rsid w:val="00273DB1"/>
    <w:rsid w:val="002E1090"/>
    <w:rsid w:val="002F6A0A"/>
    <w:rsid w:val="003109E3"/>
    <w:rsid w:val="003145C1"/>
    <w:rsid w:val="00323FBC"/>
    <w:rsid w:val="0033140D"/>
    <w:rsid w:val="003328CF"/>
    <w:rsid w:val="003432D0"/>
    <w:rsid w:val="003629F9"/>
    <w:rsid w:val="00381186"/>
    <w:rsid w:val="00391B1D"/>
    <w:rsid w:val="003A0414"/>
    <w:rsid w:val="003B474A"/>
    <w:rsid w:val="003C76FB"/>
    <w:rsid w:val="003E7913"/>
    <w:rsid w:val="00406E65"/>
    <w:rsid w:val="00415B69"/>
    <w:rsid w:val="00423F62"/>
    <w:rsid w:val="00426C35"/>
    <w:rsid w:val="0043233A"/>
    <w:rsid w:val="004323C9"/>
    <w:rsid w:val="0043352F"/>
    <w:rsid w:val="00442FF8"/>
    <w:rsid w:val="00447795"/>
    <w:rsid w:val="00472AE1"/>
    <w:rsid w:val="00476377"/>
    <w:rsid w:val="00477792"/>
    <w:rsid w:val="00495CBE"/>
    <w:rsid w:val="004B19F4"/>
    <w:rsid w:val="004D7C57"/>
    <w:rsid w:val="00502EFB"/>
    <w:rsid w:val="00575A73"/>
    <w:rsid w:val="0057646D"/>
    <w:rsid w:val="00597265"/>
    <w:rsid w:val="005A263E"/>
    <w:rsid w:val="005A318B"/>
    <w:rsid w:val="005F56A7"/>
    <w:rsid w:val="00616C35"/>
    <w:rsid w:val="00631D2E"/>
    <w:rsid w:val="00640672"/>
    <w:rsid w:val="006429FD"/>
    <w:rsid w:val="00643B33"/>
    <w:rsid w:val="00672284"/>
    <w:rsid w:val="00686BB8"/>
    <w:rsid w:val="006B1673"/>
    <w:rsid w:val="00703186"/>
    <w:rsid w:val="00705EB1"/>
    <w:rsid w:val="0072188F"/>
    <w:rsid w:val="00726953"/>
    <w:rsid w:val="00746A02"/>
    <w:rsid w:val="00747C02"/>
    <w:rsid w:val="00754081"/>
    <w:rsid w:val="007566FD"/>
    <w:rsid w:val="00763C5D"/>
    <w:rsid w:val="00786FA8"/>
    <w:rsid w:val="007B3E36"/>
    <w:rsid w:val="007C42E1"/>
    <w:rsid w:val="00823C69"/>
    <w:rsid w:val="00834600"/>
    <w:rsid w:val="008620B9"/>
    <w:rsid w:val="0089379F"/>
    <w:rsid w:val="008A7D15"/>
    <w:rsid w:val="008B29C4"/>
    <w:rsid w:val="00942BA8"/>
    <w:rsid w:val="00961A4B"/>
    <w:rsid w:val="00964019"/>
    <w:rsid w:val="0096742A"/>
    <w:rsid w:val="00997F5E"/>
    <w:rsid w:val="009A377B"/>
    <w:rsid w:val="009C3571"/>
    <w:rsid w:val="009C626B"/>
    <w:rsid w:val="009F3C6B"/>
    <w:rsid w:val="00A51A22"/>
    <w:rsid w:val="00A858DE"/>
    <w:rsid w:val="00A9440F"/>
    <w:rsid w:val="00AB2B32"/>
    <w:rsid w:val="00AC4536"/>
    <w:rsid w:val="00AF00B0"/>
    <w:rsid w:val="00B221F2"/>
    <w:rsid w:val="00B248A9"/>
    <w:rsid w:val="00B46EF0"/>
    <w:rsid w:val="00B72EF1"/>
    <w:rsid w:val="00BF65B2"/>
    <w:rsid w:val="00C10B0A"/>
    <w:rsid w:val="00C417DE"/>
    <w:rsid w:val="00C85076"/>
    <w:rsid w:val="00D21202"/>
    <w:rsid w:val="00D318FC"/>
    <w:rsid w:val="00D50133"/>
    <w:rsid w:val="00D52E94"/>
    <w:rsid w:val="00D53F3A"/>
    <w:rsid w:val="00D90E2D"/>
    <w:rsid w:val="00DA31AC"/>
    <w:rsid w:val="00DC6C6A"/>
    <w:rsid w:val="00DF603B"/>
    <w:rsid w:val="00E02748"/>
    <w:rsid w:val="00E27C50"/>
    <w:rsid w:val="00E56539"/>
    <w:rsid w:val="00E56DB4"/>
    <w:rsid w:val="00E859F0"/>
    <w:rsid w:val="00E878D8"/>
    <w:rsid w:val="00E97777"/>
    <w:rsid w:val="00E97AEE"/>
    <w:rsid w:val="00EB5412"/>
    <w:rsid w:val="00F36000"/>
    <w:rsid w:val="00F64D7E"/>
    <w:rsid w:val="00F96A51"/>
    <w:rsid w:val="00FC6CA6"/>
    <w:rsid w:val="00FE7115"/>
    <w:rsid w:val="00FF3836"/>
    <w:rsid w:val="00FF49E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CCF9B-B586-476D-AA5C-0BCD95C3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F3C6B"/>
  </w:style>
  <w:style w:type="paragraph" w:styleId="NoSpacing">
    <w:name w:val="No Spacing"/>
    <w:uiPriority w:val="1"/>
    <w:qFormat/>
    <w:rsid w:val="009F3C6B"/>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9F3C6B"/>
    <w:pPr>
      <w:spacing w:after="160" w:line="259" w:lineRule="auto"/>
      <w:ind w:left="720"/>
      <w:contextualSpacing/>
    </w:pPr>
    <w:rPr>
      <w:rFonts w:ascii="Calibri" w:eastAsia="Times New Roman" w:hAnsi="Calibri" w:cs="Times New Roman"/>
      <w:lang w:val="en-US"/>
    </w:rPr>
  </w:style>
  <w:style w:type="paragraph" w:customStyle="1" w:styleId="Default">
    <w:name w:val="Default"/>
    <w:rsid w:val="009F3C6B"/>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9F3C6B"/>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F3C6B"/>
    <w:rPr>
      <w:rFonts w:ascii="Tahoma" w:eastAsia="Times New Roman" w:hAnsi="Tahoma" w:cs="Tahoma"/>
      <w:sz w:val="16"/>
      <w:szCs w:val="16"/>
      <w:lang w:val="en-US"/>
    </w:rPr>
  </w:style>
  <w:style w:type="character" w:styleId="CommentReference">
    <w:name w:val="annotation reference"/>
    <w:uiPriority w:val="99"/>
    <w:semiHidden/>
    <w:unhideWhenUsed/>
    <w:rsid w:val="009F3C6B"/>
    <w:rPr>
      <w:sz w:val="16"/>
      <w:szCs w:val="16"/>
    </w:rPr>
  </w:style>
  <w:style w:type="paragraph" w:styleId="CommentText">
    <w:name w:val="annotation text"/>
    <w:basedOn w:val="Normal"/>
    <w:link w:val="CommentTextChar"/>
    <w:uiPriority w:val="99"/>
    <w:semiHidden/>
    <w:unhideWhenUsed/>
    <w:rsid w:val="009F3C6B"/>
    <w:pPr>
      <w:spacing w:after="16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9F3C6B"/>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F3C6B"/>
    <w:rPr>
      <w:b/>
      <w:bCs/>
    </w:rPr>
  </w:style>
  <w:style w:type="character" w:customStyle="1" w:styleId="CommentSubjectChar">
    <w:name w:val="Comment Subject Char"/>
    <w:basedOn w:val="CommentTextChar"/>
    <w:link w:val="CommentSubject"/>
    <w:uiPriority w:val="99"/>
    <w:semiHidden/>
    <w:rsid w:val="009F3C6B"/>
    <w:rPr>
      <w:rFonts w:ascii="Calibri" w:eastAsia="Times New Roman" w:hAnsi="Calibri" w:cs="Times New Roman"/>
      <w:b/>
      <w:bCs/>
      <w:sz w:val="20"/>
      <w:szCs w:val="20"/>
      <w:lang w:val="en-US"/>
    </w:rPr>
  </w:style>
  <w:style w:type="paragraph" w:styleId="NormalWeb">
    <w:name w:val="Normal (Web)"/>
    <w:basedOn w:val="Normal"/>
    <w:uiPriority w:val="99"/>
    <w:unhideWhenUsed/>
    <w:rsid w:val="009F3C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F3C6B"/>
    <w:pPr>
      <w:tabs>
        <w:tab w:val="center" w:pos="4680"/>
        <w:tab w:val="right" w:pos="9360"/>
      </w:tabs>
      <w:spacing w:after="0" w:line="240" w:lineRule="auto"/>
    </w:pPr>
    <w:rPr>
      <w:rFonts w:ascii="Calibri" w:eastAsia="Times New Roman" w:hAnsi="Calibri" w:cs="Times New Roman"/>
      <w:lang w:val="en-US"/>
    </w:rPr>
  </w:style>
  <w:style w:type="character" w:customStyle="1" w:styleId="HeaderChar">
    <w:name w:val="Header Char"/>
    <w:basedOn w:val="DefaultParagraphFont"/>
    <w:link w:val="Header"/>
    <w:uiPriority w:val="99"/>
    <w:rsid w:val="009F3C6B"/>
    <w:rPr>
      <w:rFonts w:ascii="Calibri" w:eastAsia="Times New Roman" w:hAnsi="Calibri" w:cs="Times New Roman"/>
      <w:lang w:val="en-US"/>
    </w:rPr>
  </w:style>
  <w:style w:type="paragraph" w:styleId="Footer">
    <w:name w:val="footer"/>
    <w:basedOn w:val="Normal"/>
    <w:link w:val="FooterChar"/>
    <w:uiPriority w:val="99"/>
    <w:unhideWhenUsed/>
    <w:rsid w:val="009F3C6B"/>
    <w:pPr>
      <w:tabs>
        <w:tab w:val="center" w:pos="4680"/>
        <w:tab w:val="right" w:pos="9360"/>
      </w:tabs>
      <w:spacing w:after="0" w:line="240" w:lineRule="auto"/>
    </w:pPr>
    <w:rPr>
      <w:rFonts w:ascii="Calibri" w:eastAsia="Times New Roman" w:hAnsi="Calibri" w:cs="Times New Roman"/>
      <w:lang w:val="en-US"/>
    </w:rPr>
  </w:style>
  <w:style w:type="character" w:customStyle="1" w:styleId="FooterChar">
    <w:name w:val="Footer Char"/>
    <w:basedOn w:val="DefaultParagraphFont"/>
    <w:link w:val="Footer"/>
    <w:uiPriority w:val="99"/>
    <w:rsid w:val="009F3C6B"/>
    <w:rPr>
      <w:rFonts w:ascii="Calibri" w:eastAsia="Times New Roman" w:hAnsi="Calibri" w:cs="Times New Roman"/>
      <w:lang w:val="en-US"/>
    </w:rPr>
  </w:style>
  <w:style w:type="table" w:styleId="TableGrid">
    <w:name w:val="Table Grid"/>
    <w:basedOn w:val="TableNormal"/>
    <w:uiPriority w:val="39"/>
    <w:rsid w:val="009F3C6B"/>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0B0A"/>
    <w:rPr>
      <w:color w:val="0563C1"/>
      <w:u w:val="single"/>
    </w:rPr>
  </w:style>
  <w:style w:type="paragraph" w:styleId="HTMLPreformatted">
    <w:name w:val="HTML Preformatted"/>
    <w:basedOn w:val="Normal"/>
    <w:link w:val="HTMLPreformattedChar"/>
    <w:uiPriority w:val="99"/>
    <w:semiHidden/>
    <w:unhideWhenUsed/>
    <w:rsid w:val="003B4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B474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15152">
      <w:bodyDiv w:val="1"/>
      <w:marLeft w:val="0"/>
      <w:marRight w:val="0"/>
      <w:marTop w:val="0"/>
      <w:marBottom w:val="0"/>
      <w:divBdr>
        <w:top w:val="none" w:sz="0" w:space="0" w:color="auto"/>
        <w:left w:val="none" w:sz="0" w:space="0" w:color="auto"/>
        <w:bottom w:val="none" w:sz="0" w:space="0" w:color="auto"/>
        <w:right w:val="none" w:sz="0" w:space="0" w:color="auto"/>
      </w:divBdr>
    </w:div>
    <w:div w:id="17631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AUTO/?uri=CELEX:32015L2376" TargetMode="External"/><Relationship Id="rId21" Type="http://schemas.openxmlformats.org/officeDocument/2006/relationships/hyperlink" Target="https://eur-lex.europa.eu/legal-content/EN/AUTO/?uri=CELEX:32015L2376" TargetMode="External"/><Relationship Id="rId34" Type="http://schemas.openxmlformats.org/officeDocument/2006/relationships/hyperlink" Target="https://eur-lex.europa.eu/legal-content/EN/AUTO/?uri=CELEX:32015L2376" TargetMode="External"/><Relationship Id="rId42" Type="http://schemas.openxmlformats.org/officeDocument/2006/relationships/hyperlink" Target="https://eur-lex.europa.eu/legal-content/EN/AUTO/?uri=CELEX:32016L0881" TargetMode="External"/><Relationship Id="rId47" Type="http://schemas.openxmlformats.org/officeDocument/2006/relationships/hyperlink" Target="https://eur-lex.europa.eu/legal-content/EN/AUTO/?uri=CELEX:32018L0822" TargetMode="External"/><Relationship Id="rId50" Type="http://schemas.openxmlformats.org/officeDocument/2006/relationships/hyperlink" Target="https://eur-lex.europa.eu/legal-content/EN/AUTO/?uri=CELEX:32018L0822" TargetMode="External"/><Relationship Id="rId55" Type="http://schemas.openxmlformats.org/officeDocument/2006/relationships/hyperlink" Target="https://eur-lex.europa.eu/legal-content/EN/AUTO/?uri=CELEX:32018L0822" TargetMode="External"/><Relationship Id="rId63" Type="http://schemas.openxmlformats.org/officeDocument/2006/relationships/hyperlink" Target="https://eur-lex.europa.eu/legal-content/EN/AUTO/?uri=CELEX:32018L0822" TargetMode="External"/><Relationship Id="rId7" Type="http://schemas.openxmlformats.org/officeDocument/2006/relationships/hyperlink" Target="https://eur-lex.europa.eu/legal-content/EN/AUTO/?uri=CELEX:32014L0107" TargetMode="External"/><Relationship Id="rId2" Type="http://schemas.openxmlformats.org/officeDocument/2006/relationships/styles" Target="styles.xml"/><Relationship Id="rId16" Type="http://schemas.openxmlformats.org/officeDocument/2006/relationships/hyperlink" Target="https://eur-lex.europa.eu/legal-content/EN/AUTO/?uri=CELEX:32014L0107" TargetMode="External"/><Relationship Id="rId29" Type="http://schemas.openxmlformats.org/officeDocument/2006/relationships/hyperlink" Target="https://eur-lex.europa.eu/legal-content/EN/AUTO/?uri=CELEX:32015L2376" TargetMode="External"/><Relationship Id="rId11" Type="http://schemas.openxmlformats.org/officeDocument/2006/relationships/hyperlink" Target="https://eur-lex.europa.eu/legal-content/EN/AUTO/?uri=CELEX:32014L0107" TargetMode="External"/><Relationship Id="rId24" Type="http://schemas.openxmlformats.org/officeDocument/2006/relationships/hyperlink" Target="https://eur-lex.europa.eu/legal-content/EN/AUTO/?uri=CELEX:32015L2376" TargetMode="External"/><Relationship Id="rId32" Type="http://schemas.openxmlformats.org/officeDocument/2006/relationships/hyperlink" Target="https://eur-lex.europa.eu/legal-content/EN/AUTO/?uri=CELEX:32015L2376" TargetMode="External"/><Relationship Id="rId37" Type="http://schemas.openxmlformats.org/officeDocument/2006/relationships/hyperlink" Target="https://eur-lex.europa.eu/legal-content/EN/AUTO/?uri=CELEX:32016L0881" TargetMode="External"/><Relationship Id="rId40" Type="http://schemas.openxmlformats.org/officeDocument/2006/relationships/hyperlink" Target="https://eur-lex.europa.eu/legal-content/EN/AUTO/?uri=CELEX:32016L0881" TargetMode="External"/><Relationship Id="rId45" Type="http://schemas.openxmlformats.org/officeDocument/2006/relationships/hyperlink" Target="https://eur-lex.europa.eu/legal-content/EN/AUTO/?uri=CELEX:32016L2258" TargetMode="External"/><Relationship Id="rId53" Type="http://schemas.openxmlformats.org/officeDocument/2006/relationships/hyperlink" Target="https://eur-lex.europa.eu/legal-content/EN/AUTO/?uri=CELEX:32018L0822" TargetMode="External"/><Relationship Id="rId58" Type="http://schemas.openxmlformats.org/officeDocument/2006/relationships/hyperlink" Target="https://eur-lex.europa.eu/legal-content/EN/AUTO/?uri=CELEX:32018L0822"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ur-lex.europa.eu/legal-content/EN/AUTO/?uri=CELEX:32018L0822" TargetMode="External"/><Relationship Id="rId19" Type="http://schemas.openxmlformats.org/officeDocument/2006/relationships/hyperlink" Target="https://eur-lex.europa.eu/legal-content/EN/AUTO/?uri=CELEX:32014L0107" TargetMode="External"/><Relationship Id="rId14" Type="http://schemas.openxmlformats.org/officeDocument/2006/relationships/hyperlink" Target="https://eur-lex.europa.eu/legal-content/EN/AUTO/?uri=CELEX:32014L0107" TargetMode="External"/><Relationship Id="rId22" Type="http://schemas.openxmlformats.org/officeDocument/2006/relationships/hyperlink" Target="https://eur-lex.europa.eu/legal-content/EN/AUTO/?uri=CELEX:32015L2376" TargetMode="External"/><Relationship Id="rId27" Type="http://schemas.openxmlformats.org/officeDocument/2006/relationships/hyperlink" Target="https://eur-lex.europa.eu/legal-content/EN/AUTO/?uri=CELEX:32015L2376" TargetMode="External"/><Relationship Id="rId30" Type="http://schemas.openxmlformats.org/officeDocument/2006/relationships/hyperlink" Target="https://eur-lex.europa.eu/legal-content/EN/AUTO/?uri=CELEX:32015L2376" TargetMode="External"/><Relationship Id="rId35" Type="http://schemas.openxmlformats.org/officeDocument/2006/relationships/hyperlink" Target="https://eur-lex.europa.eu/legal-content/EN/AUTO/?uri=CELEX:32015L2376" TargetMode="External"/><Relationship Id="rId43" Type="http://schemas.openxmlformats.org/officeDocument/2006/relationships/hyperlink" Target="https://eur-lex.europa.eu/legal-content/EN/AUTO/?uri=CELEX:32016L0881" TargetMode="External"/><Relationship Id="rId48" Type="http://schemas.openxmlformats.org/officeDocument/2006/relationships/hyperlink" Target="https://eur-lex.europa.eu/legal-content/EN/AUTO/?uri=CELEX:32018L0822" TargetMode="External"/><Relationship Id="rId56" Type="http://schemas.openxmlformats.org/officeDocument/2006/relationships/hyperlink" Target="https://eur-lex.europa.eu/legal-content/EN/AUTO/?uri=CELEX:32018L0822" TargetMode="External"/><Relationship Id="rId64" Type="http://schemas.openxmlformats.org/officeDocument/2006/relationships/footer" Target="footer1.xml"/><Relationship Id="rId8" Type="http://schemas.openxmlformats.org/officeDocument/2006/relationships/hyperlink" Target="https://eur-lex.europa.eu/legal-content/EN/AUTO/?uri=CELEX:32014L0107" TargetMode="External"/><Relationship Id="rId51" Type="http://schemas.openxmlformats.org/officeDocument/2006/relationships/hyperlink" Target="https://eur-lex.europa.eu/legal-content/EN/AUTO/?uri=CELEX:32018L0822" TargetMode="External"/><Relationship Id="rId3" Type="http://schemas.openxmlformats.org/officeDocument/2006/relationships/settings" Target="settings.xml"/><Relationship Id="rId12" Type="http://schemas.openxmlformats.org/officeDocument/2006/relationships/hyperlink" Target="https://eur-lex.europa.eu/legal-content/EN/AUTO/?uri=CELEX:32014L0107" TargetMode="External"/><Relationship Id="rId17" Type="http://schemas.openxmlformats.org/officeDocument/2006/relationships/hyperlink" Target="https://eur-lex.europa.eu/legal-content/EN/AUTO/?uri=CELEX:32014L0107" TargetMode="External"/><Relationship Id="rId25" Type="http://schemas.openxmlformats.org/officeDocument/2006/relationships/hyperlink" Target="https://eur-lex.europa.eu/legal-content/EN/AUTO/?uri=CELEX:32015L2376" TargetMode="External"/><Relationship Id="rId33" Type="http://schemas.openxmlformats.org/officeDocument/2006/relationships/hyperlink" Target="https://eur-lex.europa.eu/legal-content/EN/AUTO/?uri=CELEX:32015L2376" TargetMode="External"/><Relationship Id="rId38" Type="http://schemas.openxmlformats.org/officeDocument/2006/relationships/hyperlink" Target="https://eur-lex.europa.eu/legal-content/EN/AUTO/?uri=CELEX:32016L0881" TargetMode="External"/><Relationship Id="rId46" Type="http://schemas.openxmlformats.org/officeDocument/2006/relationships/hyperlink" Target="https://eur-lex.europa.eu/legal-content/EN/AUTO/?uri=CELEX:32018L0822" TargetMode="External"/><Relationship Id="rId59" Type="http://schemas.openxmlformats.org/officeDocument/2006/relationships/hyperlink" Target="https://eur-lex.europa.eu/legal-content/EN/AUTO/?uri=CELEX:32018L0822" TargetMode="External"/><Relationship Id="rId20" Type="http://schemas.openxmlformats.org/officeDocument/2006/relationships/hyperlink" Target="https://eur-lex.europa.eu/legal-content/EN/AUTO/?uri=CELEX:32015L2376" TargetMode="External"/><Relationship Id="rId41" Type="http://schemas.openxmlformats.org/officeDocument/2006/relationships/hyperlink" Target="https://eur-lex.europa.eu/legal-content/EN/AUTO/?uri=CELEX:32016L0881" TargetMode="External"/><Relationship Id="rId54" Type="http://schemas.openxmlformats.org/officeDocument/2006/relationships/hyperlink" Target="https://eur-lex.europa.eu/legal-content/EN/AUTO/?uri=CELEX:32018L0822" TargetMode="External"/><Relationship Id="rId62" Type="http://schemas.openxmlformats.org/officeDocument/2006/relationships/hyperlink" Target="https://eur-lex.europa.eu/legal-content/EN/AUTO/?uri=CELEX:32018L08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lex.europa.eu/legal-content/EN/AUTO/?uri=CELEX:32014L0107" TargetMode="External"/><Relationship Id="rId23" Type="http://schemas.openxmlformats.org/officeDocument/2006/relationships/hyperlink" Target="https://eur-lex.europa.eu/legal-content/EN/AUTO/?uri=CELEX:32015L2376" TargetMode="External"/><Relationship Id="rId28" Type="http://schemas.openxmlformats.org/officeDocument/2006/relationships/hyperlink" Target="https://eur-lex.europa.eu/legal-content/EN/AUTO/?uri=CELEX:32015L2376" TargetMode="External"/><Relationship Id="rId36" Type="http://schemas.openxmlformats.org/officeDocument/2006/relationships/hyperlink" Target="https://eur-lex.europa.eu/legal-content/EN/AUTO/?uri=CELEX:32016L0881" TargetMode="External"/><Relationship Id="rId49" Type="http://schemas.openxmlformats.org/officeDocument/2006/relationships/hyperlink" Target="https://eur-lex.europa.eu/legal-content/EN/AUTO/?uri=CELEX:32018L0822" TargetMode="External"/><Relationship Id="rId57" Type="http://schemas.openxmlformats.org/officeDocument/2006/relationships/hyperlink" Target="https://eur-lex.europa.eu/legal-content/EN/AUTO/?uri=CELEX:32018L0822" TargetMode="External"/><Relationship Id="rId10" Type="http://schemas.openxmlformats.org/officeDocument/2006/relationships/hyperlink" Target="https://eur-lex.europa.eu/legal-content/EN/AUTO/?uri=CELEX:32014L0107" TargetMode="External"/><Relationship Id="rId31" Type="http://schemas.openxmlformats.org/officeDocument/2006/relationships/hyperlink" Target="https://eur-lex.europa.eu/legal-content/EN/AUTO/?uri=CELEX:32015L2376" TargetMode="External"/><Relationship Id="rId44" Type="http://schemas.openxmlformats.org/officeDocument/2006/relationships/hyperlink" Target="https://eur-lex.europa.eu/legal-content/EN/AUTO/?uri=CELEX:32016L0881" TargetMode="External"/><Relationship Id="rId52" Type="http://schemas.openxmlformats.org/officeDocument/2006/relationships/hyperlink" Target="https://eur-lex.europa.eu/legal-content/EN/AUTO/?uri=CELEX:32018L0822" TargetMode="External"/><Relationship Id="rId60" Type="http://schemas.openxmlformats.org/officeDocument/2006/relationships/hyperlink" Target="https://eur-lex.europa.eu/legal-content/EN/AUTO/?uri=CELEX:32018L0822"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EN/AUTO/?uri=CELEX:32014L0107" TargetMode="External"/><Relationship Id="rId13" Type="http://schemas.openxmlformats.org/officeDocument/2006/relationships/hyperlink" Target="https://eur-lex.europa.eu/legal-content/EN/AUTO/?uri=CELEX:32014L0107" TargetMode="External"/><Relationship Id="rId18" Type="http://schemas.openxmlformats.org/officeDocument/2006/relationships/hyperlink" Target="https://eur-lex.europa.eu/legal-content/EN/AUTO/?uri=CELEX:32014L0107" TargetMode="External"/><Relationship Id="rId39" Type="http://schemas.openxmlformats.org/officeDocument/2006/relationships/hyperlink" Target="https://eur-lex.europa.eu/legal-content/EN/AUTO/?uri=CELEX:32016L0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julia.hoxhaj</dc:creator>
  <cp:lastModifiedBy>Amela Kora</cp:lastModifiedBy>
  <cp:revision>2</cp:revision>
  <cp:lastPrinted>2019-01-17T13:50:00Z</cp:lastPrinted>
  <dcterms:created xsi:type="dcterms:W3CDTF">2019-02-26T12:54:00Z</dcterms:created>
  <dcterms:modified xsi:type="dcterms:W3CDTF">2019-02-26T12:54:00Z</dcterms:modified>
</cp:coreProperties>
</file>